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5" w:rsidRDefault="00194A25" w:rsidP="00194A25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k-SK" w:eastAsia="sk-SK"/>
        </w:rPr>
      </w:pPr>
      <w:r w:rsidRPr="00194A25">
        <w:rPr>
          <w:rFonts w:ascii="Times New Roman" w:eastAsia="Times New Roman" w:hAnsi="Times New Roman"/>
          <w:b/>
          <w:sz w:val="28"/>
          <w:szCs w:val="28"/>
          <w:lang w:val="sk-SK" w:eastAsia="sk-SK"/>
        </w:rPr>
        <w:t>DEĽBA ŠTÁTNEJ MOCI</w:t>
      </w:r>
    </w:p>
    <w:p w:rsidR="00194A25" w:rsidRPr="00194A25" w:rsidRDefault="00194A25" w:rsidP="00194A25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val="sk-SK" w:eastAsia="sk-SK"/>
        </w:rPr>
      </w:pPr>
      <w:bookmarkStart w:id="0" w:name="_GoBack"/>
      <w:bookmarkEnd w:id="0"/>
    </w:p>
    <w:p w:rsidR="00194A25" w:rsidRPr="00194A25" w:rsidRDefault="00194A25" w:rsidP="00194A25">
      <w:p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  <w:t>Vertikálna deľba štátnej moci</w:t>
      </w:r>
    </w:p>
    <w:p w:rsidR="00194A25" w:rsidRPr="00194A25" w:rsidRDefault="00194A25" w:rsidP="00194A25">
      <w:pPr>
        <w:numPr>
          <w:ilvl w:val="0"/>
          <w:numId w:val="3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Podstata – určiť kompetencie štátnych orgánov vo vertikálnej štruktúre – určiť, kto komu je podriadený, kto o čom rozhoduje.</w:t>
      </w:r>
    </w:p>
    <w:p w:rsidR="00194A25" w:rsidRPr="00194A25" w:rsidRDefault="00194A25" w:rsidP="00194A25">
      <w:pPr>
        <w:numPr>
          <w:ilvl w:val="0"/>
          <w:numId w:val="3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V praxi sa vertikálna deľba štátnej moci premietne  do hierarchického usporiadania štátnych orgánov – urči, ktorý orgán je nadradený a ktorý podradený a aké sú ich vzájomné práv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o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moci:</w:t>
      </w:r>
    </w:p>
    <w:p w:rsidR="00194A25" w:rsidRPr="00194A25" w:rsidRDefault="00194A25" w:rsidP="00194A25">
      <w:pPr>
        <w:autoSpaceDN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centrálne orgány (vláda)</w:t>
      </w:r>
    </w:p>
    <w:p w:rsidR="00194A25" w:rsidRPr="00194A25" w:rsidRDefault="00194A25" w:rsidP="00194A25">
      <w:pPr>
        <w:autoSpaceDN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↓</w:t>
      </w:r>
    </w:p>
    <w:p w:rsidR="00194A25" w:rsidRPr="00194A25" w:rsidRDefault="00194A25" w:rsidP="00194A25">
      <w:pPr>
        <w:autoSpaceDN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regionálne orgány</w:t>
      </w:r>
    </w:p>
    <w:p w:rsidR="00194A25" w:rsidRPr="00194A25" w:rsidRDefault="00194A25" w:rsidP="00194A25">
      <w:pPr>
        <w:autoSpaceDN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↓</w:t>
      </w:r>
    </w:p>
    <w:p w:rsidR="00194A25" w:rsidRPr="00194A25" w:rsidRDefault="00194A25" w:rsidP="00194A25">
      <w:pPr>
        <w:autoSpaceDN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miestne orgány</w:t>
      </w:r>
    </w:p>
    <w:p w:rsidR="00194A25" w:rsidRPr="00194A25" w:rsidRDefault="00194A25" w:rsidP="00194A25">
      <w:pPr>
        <w:numPr>
          <w:ilvl w:val="0"/>
          <w:numId w:val="3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u w:val="single"/>
          <w:lang w:val="sk-SK" w:eastAsia="sk-SK"/>
        </w:rPr>
        <w:t>Podľa vzťahu medzi centrálnymi orgánmi a ostatnými orgánmi rozlišujeme dva modely ve</w:t>
      </w:r>
      <w:r w:rsidRPr="00194A25">
        <w:rPr>
          <w:rFonts w:ascii="Times New Roman" w:eastAsia="Times New Roman" w:hAnsi="Times New Roman"/>
          <w:sz w:val="24"/>
          <w:szCs w:val="24"/>
          <w:u w:val="single"/>
          <w:lang w:val="sk-SK" w:eastAsia="sk-SK"/>
        </w:rPr>
        <w:t>r</w:t>
      </w:r>
      <w:r w:rsidRPr="00194A25">
        <w:rPr>
          <w:rFonts w:ascii="Times New Roman" w:eastAsia="Times New Roman" w:hAnsi="Times New Roman"/>
          <w:sz w:val="24"/>
          <w:szCs w:val="24"/>
          <w:u w:val="single"/>
          <w:lang w:val="sk-SK" w:eastAsia="sk-SK"/>
        </w:rPr>
        <w:t>tikálneho delenia štátnej moci:</w:t>
      </w:r>
    </w:p>
    <w:p w:rsidR="00194A25" w:rsidRPr="00194A25" w:rsidRDefault="00194A25" w:rsidP="00194A25">
      <w:pPr>
        <w:numPr>
          <w:ilvl w:val="0"/>
          <w:numId w:val="37"/>
        </w:numPr>
        <w:autoSpaceDN/>
        <w:spacing w:after="0" w:line="240" w:lineRule="auto"/>
        <w:ind w:left="993" w:hanging="284"/>
        <w:jc w:val="both"/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centralizovaný model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- posilnené právomoci majú centrálne orgány, nižšie orgány len vykonávajú ich príkazy, ale samostatne rozhodovať nemôžu;</w:t>
      </w:r>
    </w:p>
    <w:p w:rsidR="00194A25" w:rsidRPr="00194A25" w:rsidRDefault="00194A25" w:rsidP="00194A25">
      <w:pPr>
        <w:numPr>
          <w:ilvl w:val="0"/>
          <w:numId w:val="37"/>
        </w:numPr>
        <w:autoSpaceDN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 xml:space="preserve">decentralizovaný model - 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sú oslabené právomoci centrálnych orgánov a posilnené pr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á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vomoci nižších (regionálnych) orgánov; regionálne a miestne orgány konajú samostatne (v medziach zákona), centrálne orgány prijímajú len základný legislatívny rámec; v decentralizovaných štátoch existuje samospráva.</w:t>
      </w:r>
    </w:p>
    <w:p w:rsidR="00194A25" w:rsidRPr="00194A25" w:rsidRDefault="00194A25" w:rsidP="00194A25">
      <w:pPr>
        <w:numPr>
          <w:ilvl w:val="0"/>
          <w:numId w:val="3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Pre vertikálne rozdelenie štátnej moci neexistuje všeobecne platný a uznávaný model. Záleží na type štátu: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ab/>
        <w:t>unitárny štát, zložený štát.</w:t>
      </w:r>
    </w:p>
    <w:p w:rsidR="00194A25" w:rsidRPr="00194A25" w:rsidRDefault="00194A25" w:rsidP="00194A25">
      <w:pPr>
        <w:autoSpaceDN/>
        <w:spacing w:after="0" w:line="240" w:lineRule="auto"/>
        <w:ind w:left="3588" w:firstLine="660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194A25" w:rsidRPr="00194A25" w:rsidRDefault="00194A25" w:rsidP="00194A25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</w:pPr>
      <w:r w:rsidRPr="00194A25"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  <w:t>Horizontálna deľba štátnej moci I.</w:t>
      </w:r>
    </w:p>
    <w:p w:rsidR="00194A25" w:rsidRPr="00194A25" w:rsidRDefault="00194A25" w:rsidP="00194A25">
      <w:pPr>
        <w:numPr>
          <w:ilvl w:val="0"/>
          <w:numId w:val="18"/>
        </w:numPr>
        <w:autoSpaceDN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 xml:space="preserve">Princíp deľby štátnej moci sa prvýkrát v dejinách politického myslenia objavuje v dielach anglického filozofia </w:t>
      </w:r>
      <w:proofErr w:type="spellStart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>Johna</w:t>
      </w:r>
      <w:proofErr w:type="spellEnd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 xml:space="preserve"> </w:t>
      </w:r>
      <w:proofErr w:type="spellStart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>Locka</w:t>
      </w:r>
      <w:proofErr w:type="spellEnd"/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 xml:space="preserve"> (požaduje oddelenie zákonodarnej a výkonnej moci) a najmä v spisoch francúzskeho </w:t>
      </w:r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 xml:space="preserve">mysliteľa </w:t>
      </w:r>
      <w:proofErr w:type="spellStart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>Charlesa</w:t>
      </w:r>
      <w:proofErr w:type="spellEnd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 xml:space="preserve"> </w:t>
      </w:r>
      <w:proofErr w:type="spellStart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>de</w:t>
      </w:r>
      <w:proofErr w:type="spellEnd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 xml:space="preserve"> </w:t>
      </w:r>
      <w:proofErr w:type="spellStart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>Montesquiea</w:t>
      </w:r>
      <w:proofErr w:type="spellEnd"/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 xml:space="preserve"> (navrhuje oddelenie zákonodarnej, výkonnej a súdnej moci). Jeho názory rozpracoval </w:t>
      </w:r>
      <w:proofErr w:type="spellStart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>Alexis</w:t>
      </w:r>
      <w:proofErr w:type="spellEnd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 xml:space="preserve"> </w:t>
      </w:r>
      <w:proofErr w:type="spellStart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>de</w:t>
      </w:r>
      <w:proofErr w:type="spellEnd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 xml:space="preserve"> </w:t>
      </w:r>
      <w:proofErr w:type="spellStart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>Tocqueville</w:t>
      </w:r>
      <w:proofErr w:type="spellEnd"/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>.</w:t>
      </w:r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 xml:space="preserve"> </w:t>
      </w:r>
    </w:p>
    <w:p w:rsidR="00194A25" w:rsidRPr="00194A25" w:rsidRDefault="00194A25" w:rsidP="00194A25">
      <w:pPr>
        <w:numPr>
          <w:ilvl w:val="0"/>
          <w:numId w:val="1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k-SK" w:eastAsia="sk-SK"/>
        </w:rPr>
      </w:pPr>
      <w:r w:rsidRPr="00194A25"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sk-SK"/>
        </w:rPr>
        <w:t>Ciele rozdelenia moci: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</w:t>
      </w:r>
    </w:p>
    <w:p w:rsidR="00194A25" w:rsidRPr="00194A25" w:rsidRDefault="00194A25" w:rsidP="00194A25">
      <w:pPr>
        <w:numPr>
          <w:ilvl w:val="0"/>
          <w:numId w:val="20"/>
        </w:numPr>
        <w:autoSpaceDN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zabezpečiť efektívny výkon štátnej moci; </w:t>
      </w:r>
    </w:p>
    <w:p w:rsidR="00194A25" w:rsidRPr="00194A25" w:rsidRDefault="00194A25" w:rsidP="00194A25">
      <w:pPr>
        <w:numPr>
          <w:ilvl w:val="0"/>
          <w:numId w:val="20"/>
        </w:numPr>
        <w:autoSpaceDN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zabrániť zneužitiu štátnej v moci.</w:t>
      </w:r>
    </w:p>
    <w:p w:rsidR="00194A25" w:rsidRPr="00194A25" w:rsidRDefault="00194A25" w:rsidP="00194A25">
      <w:pPr>
        <w:numPr>
          <w:ilvl w:val="0"/>
          <w:numId w:val="18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Podstatou je rozdeliť politickú moc na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tri nezávislé a rovnocenné zložky, ktoré sa navz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á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jom dopĺňajú a kontrolujú:</w:t>
      </w:r>
    </w:p>
    <w:p w:rsidR="00194A25" w:rsidRPr="00194A25" w:rsidRDefault="00194A25" w:rsidP="00194A25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 xml:space="preserve">             ZÁKONODARNÁ MOC</w:t>
      </w:r>
      <w:r w:rsidRPr="00194A25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ab/>
        <w:t>↔</w:t>
      </w:r>
      <w:r w:rsidRPr="00194A25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ab/>
        <w:t>VÝKONNÁ MOC</w:t>
      </w:r>
      <w:r w:rsidRPr="00194A25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ab/>
        <w:t>↔</w:t>
      </w:r>
      <w:r w:rsidRPr="00194A25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ab/>
        <w:t>SÚDNA MOC</w:t>
      </w:r>
    </w:p>
    <w:p w:rsidR="00194A25" w:rsidRPr="00194A25" w:rsidRDefault="00194A25" w:rsidP="00194A25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 xml:space="preserve">                       (legislatíva)</w:t>
      </w:r>
      <w:r w:rsidRPr="00194A25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ab/>
      </w:r>
      <w:r w:rsidRPr="00194A25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ab/>
      </w:r>
      <w:r w:rsidRPr="00194A25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ab/>
        <w:t xml:space="preserve">     (exekutíva)</w:t>
      </w:r>
      <w:r w:rsidRPr="00194A25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ab/>
        <w:t xml:space="preserve">            (jurisdikcia)</w:t>
      </w:r>
    </w:p>
    <w:p w:rsidR="00194A25" w:rsidRPr="00194A25" w:rsidRDefault="00194A25" w:rsidP="00194A25">
      <w:pPr>
        <w:numPr>
          <w:ilvl w:val="0"/>
          <w:numId w:val="21"/>
        </w:numPr>
        <w:autoSpaceDN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 xml:space="preserve">Tento systém  sa označuje ako </w:t>
      </w:r>
      <w:r w:rsidRPr="00194A2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k-SK" w:eastAsia="sk-SK"/>
        </w:rPr>
        <w:t>princíp bŕzd a rovnováh</w:t>
      </w:r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 xml:space="preserve"> (znamená to, že rozhodnutie každej z troch zložiek môže byť ostatnými korigované (napr. hlava štátu môže vrátiť parlamentu na opätovné prerokovanie prijatý zákon, ústavný súd môže zrušiť zákon, ktorý nie je v súlade s ústavou, parlament môže vysloviť vláde nedôveru a pod.)</w:t>
      </w:r>
    </w:p>
    <w:p w:rsidR="00194A25" w:rsidRPr="00194A25" w:rsidRDefault="00194A25" w:rsidP="00194A25">
      <w:p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194A25" w:rsidRPr="00194A25" w:rsidRDefault="00194A25" w:rsidP="00194A25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</w:pPr>
      <w:r w:rsidRPr="00194A25"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  <w:t>Zákonodarná moc (legislatíva)</w:t>
      </w:r>
    </w:p>
    <w:p w:rsidR="00194A25" w:rsidRPr="00194A25" w:rsidRDefault="00194A25" w:rsidP="00194A25">
      <w:pPr>
        <w:numPr>
          <w:ilvl w:val="0"/>
          <w:numId w:val="21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cieľ: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stanovuje normy správania štátu, občanov, inštitúcií; prijíma, novelizuje zákony a ústavu ...;</w:t>
      </w:r>
    </w:p>
    <w:p w:rsidR="00194A25" w:rsidRPr="00194A25" w:rsidRDefault="00194A25" w:rsidP="00194A25">
      <w:pPr>
        <w:numPr>
          <w:ilvl w:val="0"/>
          <w:numId w:val="21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nositeľom tejto moci je </w:t>
      </w:r>
      <w:r w:rsidRPr="00194A25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 xml:space="preserve">parlament 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(zákonodarný zbor, z franc. </w:t>
      </w:r>
      <w:proofErr w:type="spellStart"/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parlere</w:t>
      </w:r>
      <w:proofErr w:type="spellEnd"/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= hovoriť)</w:t>
      </w:r>
      <w:r w:rsidRPr="00194A25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>;</w:t>
      </w:r>
    </w:p>
    <w:p w:rsidR="00194A25" w:rsidRPr="00194A25" w:rsidRDefault="00194A25" w:rsidP="00194A25">
      <w:pPr>
        <w:numPr>
          <w:ilvl w:val="0"/>
          <w:numId w:val="2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parlament sa skladá z poslancov a na čele je predseda parlamentu;</w:t>
      </w:r>
    </w:p>
    <w:p w:rsidR="00194A25" w:rsidRPr="00194A25" w:rsidRDefault="00194A25" w:rsidP="00194A25">
      <w:pPr>
        <w:numPr>
          <w:ilvl w:val="0"/>
          <w:numId w:val="2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lastRenderedPageBreak/>
        <w:t>mandáty poslancov zastupiteľského zboru vznikajú vo všeobecných voľbách - spôsob v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o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lieb, dĺžku volebného obdobia a právomoci parlamentu upravuje ústava daného štátu;</w:t>
      </w:r>
    </w:p>
    <w:p w:rsidR="00194A25" w:rsidRPr="00194A25" w:rsidRDefault="00194A25" w:rsidP="00194A25">
      <w:pPr>
        <w:numPr>
          <w:ilvl w:val="0"/>
          <w:numId w:val="2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parlament môže byť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jednokomorový parlament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alebo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dvojkomorový parlament; 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medzi komorami je rozdiel v názve, v dĺžke volebného obdobia,  v spôsobe volieb, v kompetenciách;</w:t>
      </w:r>
    </w:p>
    <w:p w:rsidR="00194A25" w:rsidRPr="00194A25" w:rsidRDefault="00194A25" w:rsidP="00194A25">
      <w:pPr>
        <w:numPr>
          <w:ilvl w:val="0"/>
          <w:numId w:val="2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väčšina demokratických krajín má dvojkomorový parlament, ktorý sa skladá z dvoch častí, komôr –  napr. zo snemovne a zo senátu, (napr. Česko, Nemecko, Francúzsko, Veľká Brit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á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nia, USA...); Slovensko je výnimka – má jednokomorový parlament;</w:t>
      </w:r>
    </w:p>
    <w:p w:rsidR="00194A25" w:rsidRPr="00194A25" w:rsidRDefault="00194A25" w:rsidP="00194A25">
      <w:pPr>
        <w:numPr>
          <w:ilvl w:val="0"/>
          <w:numId w:val="2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dvojkomorový parlament - jedna komora má zákonodarnú právomoc, druhá komora kontr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o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luje prvú;</w:t>
      </w:r>
    </w:p>
    <w:p w:rsidR="00194A25" w:rsidRPr="00194A25" w:rsidRDefault="00194A25" w:rsidP="00194A25">
      <w:pPr>
        <w:numPr>
          <w:ilvl w:val="0"/>
          <w:numId w:val="2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na čele parlamentu je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predseda parlamentu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jeden z troch najvyšších ústavných činiteľov ( + predseda vlády a hlava štátu – prezident, príp. panovník);</w:t>
      </w:r>
    </w:p>
    <w:p w:rsidR="00194A25" w:rsidRPr="00194A25" w:rsidRDefault="00194A25" w:rsidP="00194A25">
      <w:pPr>
        <w:numPr>
          <w:ilvl w:val="0"/>
          <w:numId w:val="2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parlament je kolektívny orgán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jednotlivec v ňom nerozhoduje;  svoje rozhodnutia prij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í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ma parlament hlasovaním, t.j. rozhoduje vôľa väčšiny - napr. nadpolovičnej, dvojtretinovej, trojpätinovej </w:t>
      </w:r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(podrobnosti ustanovuje zákon)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;</w:t>
      </w:r>
    </w:p>
    <w:p w:rsidR="00194A25" w:rsidRPr="00194A25" w:rsidRDefault="00194A25" w:rsidP="00194A25">
      <w:pPr>
        <w:numPr>
          <w:ilvl w:val="0"/>
          <w:numId w:val="2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ani predseda parlamentu nemá rozhodovacie právomoci – riadi činnosť parlamentu, vedie jeho zasadania </w:t>
      </w:r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(podrobnosti o jeho právomociach ustanovuje zákon)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;</w:t>
      </w:r>
    </w:p>
    <w:p w:rsidR="00194A25" w:rsidRPr="00194A25" w:rsidRDefault="00194A25" w:rsidP="00194A25">
      <w:pPr>
        <w:numPr>
          <w:ilvl w:val="0"/>
          <w:numId w:val="23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sk-SK"/>
        </w:rPr>
      </w:pPr>
      <w:r w:rsidRPr="00194A25"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sk-SK"/>
        </w:rPr>
        <w:t>právomoci parlamentu: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ab/>
      </w:r>
    </w:p>
    <w:p w:rsidR="00194A25" w:rsidRPr="00194A25" w:rsidRDefault="00194A25" w:rsidP="00194A25">
      <w:pPr>
        <w:numPr>
          <w:ilvl w:val="1"/>
          <w:numId w:val="2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prijíma a novelizuje zákony a ústavu;</w:t>
      </w:r>
    </w:p>
    <w:p w:rsidR="00194A25" w:rsidRPr="00194A25" w:rsidRDefault="00194A25" w:rsidP="00194A25">
      <w:pPr>
        <w:numPr>
          <w:ilvl w:val="1"/>
          <w:numId w:val="2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schvaľuje programové vyhlásenie vlády (na začiatku volebného obdobia tak vysl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o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vuje vláde dôveru);</w:t>
      </w:r>
    </w:p>
    <w:p w:rsidR="00194A25" w:rsidRPr="00194A25" w:rsidRDefault="00194A25" w:rsidP="00194A25">
      <w:pPr>
        <w:numPr>
          <w:ilvl w:val="1"/>
          <w:numId w:val="2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schvaľuje štátny rozpočet;</w:t>
      </w:r>
    </w:p>
    <w:p w:rsidR="00194A25" w:rsidRPr="00194A25" w:rsidRDefault="00194A25" w:rsidP="00194A25">
      <w:pPr>
        <w:numPr>
          <w:ilvl w:val="1"/>
          <w:numId w:val="2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posudzuje činnosť vlády (aj v priebehu volebného obdobia môže vláde alebo niekt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o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rému z jej členov vysloviť nedôveru);</w:t>
      </w:r>
    </w:p>
    <w:p w:rsidR="00194A25" w:rsidRPr="00194A25" w:rsidRDefault="00194A25" w:rsidP="00194A25">
      <w:pPr>
        <w:numPr>
          <w:ilvl w:val="1"/>
          <w:numId w:val="2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ratifikuje (schvaľuje) medzinárodné zmluvy;</w:t>
      </w:r>
    </w:p>
    <w:p w:rsidR="00194A25" w:rsidRPr="00194A25" w:rsidRDefault="00194A25" w:rsidP="00194A25">
      <w:pPr>
        <w:numPr>
          <w:ilvl w:val="1"/>
          <w:numId w:val="2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iné právomoci: môže napr. menovať sudcov, voliť hlavu štátu ... </w:t>
      </w:r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(podrobnejšie pr</w:t>
      </w:r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á</w:t>
      </w:r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vomoci parlamentu rozpracúva ústava konkrétneho štátu)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;</w:t>
      </w:r>
    </w:p>
    <w:p w:rsidR="00194A25" w:rsidRPr="00194A25" w:rsidRDefault="00194A25" w:rsidP="00194A25">
      <w:pPr>
        <w:numPr>
          <w:ilvl w:val="0"/>
          <w:numId w:val="2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časť legislatívnej právomoci sa prenáša aj na nižšie zložky štátneho aparátu (vláda, ministe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r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stvá, orgány štátnej správy a samosprávy);</w:t>
      </w:r>
    </w:p>
    <w:p w:rsidR="00194A25" w:rsidRPr="00194A25" w:rsidRDefault="00194A25" w:rsidP="00194A25">
      <w:p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194A25" w:rsidRPr="00194A25" w:rsidRDefault="00194A25" w:rsidP="00194A25">
      <w:pPr>
        <w:numPr>
          <w:ilvl w:val="0"/>
          <w:numId w:val="25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</w:pPr>
      <w:r w:rsidRPr="00194A25"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  <w:t>Národná rada Slovenskej republiky – NR SR</w:t>
      </w:r>
    </w:p>
    <w:p w:rsidR="00194A25" w:rsidRPr="00194A25" w:rsidRDefault="00194A25" w:rsidP="00194A25">
      <w:pPr>
        <w:numPr>
          <w:ilvl w:val="0"/>
          <w:numId w:val="2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parlamentom v SR je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Národná rada Slovenskej republiky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je to najvyšší ústavodarný a zákonodarný orgán;</w:t>
      </w:r>
    </w:p>
    <w:p w:rsidR="00194A25" w:rsidRPr="00194A25" w:rsidRDefault="00194A25" w:rsidP="00194A25">
      <w:pPr>
        <w:numPr>
          <w:ilvl w:val="0"/>
          <w:numId w:val="2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postavenie NR SR upravuje ústava SR vo svojej piatej hlave;</w:t>
      </w:r>
    </w:p>
    <w:p w:rsidR="00194A25" w:rsidRPr="00194A25" w:rsidRDefault="00194A25" w:rsidP="00194A25">
      <w:pPr>
        <w:numPr>
          <w:ilvl w:val="0"/>
          <w:numId w:val="2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NR SR je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jednokomorovým parlamentom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, ktorý má 150 poslancov;</w:t>
      </w:r>
    </w:p>
    <w:p w:rsidR="00194A25" w:rsidRPr="00194A25" w:rsidRDefault="00194A25" w:rsidP="00194A25">
      <w:pPr>
        <w:numPr>
          <w:ilvl w:val="0"/>
          <w:numId w:val="2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poslanci sú volení vo všeobecných, rovných, priamych voľbách s tajným hlasovaním na o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b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dobie štyroch rokov;</w:t>
      </w:r>
    </w:p>
    <w:p w:rsidR="00194A25" w:rsidRPr="00194A25" w:rsidRDefault="00194A25" w:rsidP="00194A25">
      <w:pPr>
        <w:numPr>
          <w:ilvl w:val="0"/>
          <w:numId w:val="2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za poslanca môže byť zvolený občan, ktorý dosiahol vek 21 rokov a má trvalý pobyt na území SR;</w:t>
      </w:r>
    </w:p>
    <w:p w:rsidR="00194A25" w:rsidRPr="00194A25" w:rsidRDefault="00194A25" w:rsidP="00194A25">
      <w:pPr>
        <w:numPr>
          <w:ilvl w:val="0"/>
          <w:numId w:val="2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poslanec je zástupca občanov, ktorý vykonáva svoj mandát osobne podľa svojho svedomia a presvedčenia a nie je viazaný žiadnymi príkazmi – ani príkazmi strany, za ktorú bol zvol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e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ný -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poslanci NR SR nemajú tzv. imperatívny mandát;</w:t>
      </w:r>
    </w:p>
    <w:p w:rsidR="00194A25" w:rsidRPr="00194A25" w:rsidRDefault="00194A25" w:rsidP="00194A25">
      <w:pPr>
        <w:numPr>
          <w:ilvl w:val="0"/>
          <w:numId w:val="2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funkcia poslanca je nezlučiteľná s výkonom funkcie sudcu, prokurátora, príslušníka ozbr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o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jených síl, poslanca Európskeho parlamentu; </w:t>
      </w:r>
    </w:p>
    <w:p w:rsidR="00194A25" w:rsidRPr="00194A25" w:rsidRDefault="00194A25" w:rsidP="00194A25">
      <w:pPr>
        <w:numPr>
          <w:ilvl w:val="0"/>
          <w:numId w:val="2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ak bol poslanec menovaný do funkcie člena vlády jeho mandát nezaniká iba sa neuplatňuje;</w:t>
      </w:r>
    </w:p>
    <w:p w:rsidR="00194A25" w:rsidRPr="00194A25" w:rsidRDefault="00194A25" w:rsidP="00194A25">
      <w:pPr>
        <w:numPr>
          <w:ilvl w:val="0"/>
          <w:numId w:val="26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lastRenderedPageBreak/>
        <w:t xml:space="preserve">poslanci disponujú tzv. poslaneckou imunitou - 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poslanca NR SR nemožno stíhať za hl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a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sovanie a výroky pri výkone funkcie poslanca prednesené v NR SR; poslanec podlieha di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s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ciplinárnej právomoci NR SR; </w:t>
      </w:r>
    </w:p>
    <w:p w:rsidR="00194A25" w:rsidRPr="00194A25" w:rsidRDefault="00194A25" w:rsidP="00194A25">
      <w:pPr>
        <w:numPr>
          <w:ilvl w:val="1"/>
          <w:numId w:val="27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poslanca nemožno trestne ani disciplinárne stíhať, ani ho vziať do väzby bez súhlasu NR SR; </w:t>
      </w:r>
      <w:r w:rsidRPr="00194A25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(ak NR SR súhlas nedá, trestné stíhanie alebo vzatie do väzby nie je počas trvania poslaneckého mandátu možné)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ak bol aj poslanec pristihnutý a zadržaný pri trestnom čine, príslušný orgán (polícia, prokuratúra) je povinný ihneď to oznámiť predsedovi NR SR; ak mandátový a imunitný výbor NR SR nedá následný súhlas na zadržanie, poslanec musí byť ihneď prepustený;</w:t>
      </w:r>
    </w:p>
    <w:p w:rsidR="00194A25" w:rsidRPr="00194A25" w:rsidRDefault="00194A25" w:rsidP="00194A25">
      <w:pPr>
        <w:numPr>
          <w:ilvl w:val="0"/>
          <w:numId w:val="29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mandát poslanca zaniká: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poslanec sa môže svojho mandátu vzdať;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uplynutím volebného obdobia;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stratou voliteľnosti;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vznikom nezlučiteľnosti;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rozpustením NR SR (v prípade predčasných parlamentných volieb);</w:t>
      </w:r>
    </w:p>
    <w:p w:rsidR="00194A25" w:rsidRPr="00194A25" w:rsidRDefault="00194A25" w:rsidP="00194A25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NR SR zasadá stále - 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zasadanie NR SR sa skončí uplynutím volebného obdobia; svojím uznesením môže zasadanie prerušiť ale dĺžka prerušenia nesmie presiahnuť štyri mesiace v roku;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 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aj počas prerušenia zasadania vykonávajú svoju činnosť predseda, podpredsedovia a výbory NR SR;</w:t>
      </w:r>
    </w:p>
    <w:p w:rsidR="00194A25" w:rsidRPr="00194A25" w:rsidRDefault="00194A25" w:rsidP="00194A25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schôdze zvoláva a vedie predseda parlamentu (príp. ho zastupuje niektorý z podpredsedov);</w:t>
      </w:r>
    </w:p>
    <w:p w:rsidR="00194A25" w:rsidRPr="00194A25" w:rsidRDefault="00194A25" w:rsidP="00194A25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schôdze sú verejné - ak zákon neustanovuje inak alebo sa NR SR trojpätinovou väčšinou všetkých poslancov na tom uznesie;</w:t>
      </w:r>
    </w:p>
    <w:p w:rsidR="00194A25" w:rsidRPr="00194A25" w:rsidRDefault="00194A25" w:rsidP="00194A25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NR SR je kolektívny orgán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-  o svojich rozhodnutiach hlasuje;</w:t>
      </w:r>
    </w:p>
    <w:p w:rsidR="00194A25" w:rsidRPr="00194A25" w:rsidRDefault="00194A25" w:rsidP="00194A25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NR SR je schopná uznášať sa, ak je prítomná nadpolovičná väčšina všetkých poslancov; 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na prijatie platného uznesenia je potrebný súhlas nadpolovičnej väčšiny prítomných poslancov ak zákon neustanovuje inak –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tzv. prostá (relatívna) väčšina;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napr. na prijatie zákona, ktorý prezident SR vrátil na opätovné prerokovanie, na v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y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slovenie nedôvery členovi vlády je potrebný súhlas nadpolovičnej väčšiny všetkých poslancov –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tzv. kvalifikovaná (absolútna) väčšina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(75 +1 hlas);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na prijatie alebo zmenu ústavy (príp. ústavného zákona) je potrebný súhlas aspoň trojpätinovej väčšiny všetkých poslancov –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tzv. ústavná väčšina 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(90 hlasov);</w:t>
      </w:r>
    </w:p>
    <w:p w:rsidR="00194A25" w:rsidRPr="00194A25" w:rsidRDefault="00194A25" w:rsidP="00194A25">
      <w:pPr>
        <w:numPr>
          <w:ilvl w:val="0"/>
          <w:numId w:val="3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poslanci NR SR, výbory NR SR a vláda SR majú právo podávať návrh zákona - 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právo z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á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konodarnej iniciatívy;</w:t>
      </w:r>
    </w:p>
    <w:p w:rsidR="00194A25" w:rsidRPr="00194A25" w:rsidRDefault="00194A25" w:rsidP="00194A25">
      <w:pPr>
        <w:numPr>
          <w:ilvl w:val="0"/>
          <w:numId w:val="3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prijatý zákon podpisuje prezident SR, predseda vlády a predseda parlamentu; 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ak prezident odmietne zákon podpísať a vráti ho s pripomienkami, NR SR ho musí opätovne prerokovať; ak ho parlament opätovne schváli (aj bez pripomienok prez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i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denta), zákon musí byť vyhlásený aj bez podpisu prezidenta; prezident má v tomto prípade len právo relatívneho (suspenzívneho) veta;</w:t>
      </w:r>
    </w:p>
    <w:p w:rsidR="00194A25" w:rsidRPr="00194A25" w:rsidRDefault="00194A25" w:rsidP="00194A25">
      <w:pPr>
        <w:numPr>
          <w:ilvl w:val="0"/>
          <w:numId w:val="3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na čele NR SR stojí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predseda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je to jeden z troch najvyšších ústavných činiteľov;  zastup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u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jú ho podpredsedovia; </w:t>
      </w:r>
    </w:p>
    <w:p w:rsidR="00194A25" w:rsidRPr="00194A25" w:rsidRDefault="00194A25" w:rsidP="00194A25">
      <w:pPr>
        <w:numPr>
          <w:ilvl w:val="0"/>
          <w:numId w:val="3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predsedu a podpredsedov volia poslanci spomedzi seba nadpolovičnou väčšinou všetkých poslancov tajným hlasovaním;</w:t>
      </w:r>
    </w:p>
    <w:p w:rsidR="00194A25" w:rsidRPr="00194A25" w:rsidRDefault="00194A25" w:rsidP="00194A25">
      <w:pPr>
        <w:numPr>
          <w:ilvl w:val="0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Kompetencie predsedu NR SR: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zvoláva a riadi schôdze NR SR; 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riadi a organizuje činnosť NR SR;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lastRenderedPageBreak/>
        <w:t>podpisuje prijaté právne normy;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prijíma sľub poslancov NR SR;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vyhlasuje voľby do NR SR, voľbu prezidenta, voľby do orgánov územnej samospr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á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vy;</w:t>
      </w:r>
    </w:p>
    <w:p w:rsidR="00194A25" w:rsidRPr="00194A25" w:rsidRDefault="00194A25" w:rsidP="00194A25">
      <w:pPr>
        <w:numPr>
          <w:ilvl w:val="0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NR SR vytvára výbory, ktoré prerokovávajú návrhy zákonov; pripravujú návrhy zákonov;</w:t>
      </w:r>
    </w:p>
    <w:p w:rsidR="00194A25" w:rsidRPr="00194A25" w:rsidRDefault="00194A25" w:rsidP="00194A25">
      <w:pPr>
        <w:numPr>
          <w:ilvl w:val="0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stále výbory  NR SR sú:</w:t>
      </w:r>
    </w:p>
    <w:p w:rsidR="00194A25" w:rsidRPr="00194A25" w:rsidRDefault="00194A25" w:rsidP="00194A25">
      <w:pPr>
        <w:numPr>
          <w:ilvl w:val="0"/>
          <w:numId w:val="3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mandátový a imunitný výbor;</w:t>
      </w:r>
    </w:p>
    <w:p w:rsidR="00194A25" w:rsidRPr="00194A25" w:rsidRDefault="00194A25" w:rsidP="00194A25">
      <w:pPr>
        <w:numPr>
          <w:ilvl w:val="0"/>
          <w:numId w:val="3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výbor pre nezlučiteľnosť funkcií;</w:t>
      </w:r>
    </w:p>
    <w:p w:rsidR="00194A25" w:rsidRPr="00194A25" w:rsidRDefault="00194A25" w:rsidP="00194A25">
      <w:pPr>
        <w:numPr>
          <w:ilvl w:val="0"/>
          <w:numId w:val="3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ústavnoprávny výbor;</w:t>
      </w:r>
    </w:p>
    <w:p w:rsidR="00194A25" w:rsidRPr="00194A25" w:rsidRDefault="00194A25" w:rsidP="00194A25">
      <w:pPr>
        <w:numPr>
          <w:ilvl w:val="0"/>
          <w:numId w:val="3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iné výbory zriaďuje NR SR podľa potreby;</w:t>
      </w:r>
    </w:p>
    <w:p w:rsidR="00194A25" w:rsidRPr="00194A25" w:rsidRDefault="00194A25" w:rsidP="00194A25">
      <w:pPr>
        <w:numPr>
          <w:ilvl w:val="0"/>
          <w:numId w:val="3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na čele výboru stojí jeho predseda;</w:t>
      </w:r>
    </w:p>
    <w:p w:rsidR="00194A25" w:rsidRPr="00194A25" w:rsidRDefault="00194A25" w:rsidP="00194A25">
      <w:pPr>
        <w:numPr>
          <w:ilvl w:val="0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na základe straníckej príslušnosti vytvárajú poslanci poslanecké kluby - nemajú žiadne l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e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gislatívne právomoci; ak poslanec nie je členom žiadneho klubu (nie je členom politickej strany) označuje sa ako nezávislý;</w:t>
      </w:r>
    </w:p>
    <w:p w:rsidR="00194A25" w:rsidRPr="00194A25" w:rsidRDefault="00194A25" w:rsidP="00194A25">
      <w:pPr>
        <w:numPr>
          <w:ilvl w:val="0"/>
          <w:numId w:val="30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Kompetencie NR SR: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prijíma ústavu, ústavné zákony, zákony a ich novelizácie – základná legislatívna funkcia parlamentu;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rozhoduje o návrhu na konanie referenda;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ratifikuje medzinárodné zmluvy;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zriaďuje ministerstvá a iné orgány štátnej správy;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rokuje o programovom vyhlásení vlády;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kontroluje činnosť vlády a rokuje o vyslovení dôvery/nedôvery vláde a jej členom - na vyslovenie nedôvery vláde SR alebo jej členovi je potrebný súhlas nadpolovičnej väčšiny všetkých poslancov;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poslanci majú </w:t>
      </w:r>
      <w:r w:rsidRPr="00194A25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právo interpelovať člena vlády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- t.j. obracať sa s otázkami vo v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e</w:t>
      </w: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ciach jeho pôsobnosti a ten je povinný odpovedať; o odpovediach sa koná v NR SR rozprava (tzv. hodina otázok) -  rozprava môže byť spojená s hlasovaním o dôvere;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schvaľuje štátny rozpočet, preveruje jeho plnenie a schvaľuje štátny záverečný účet;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rokuje o otázkach vnútornej, medzinárodnej, hospodárskej, sociálnej a inej politiky štátu;</w:t>
      </w:r>
    </w:p>
    <w:p w:rsidR="00194A25" w:rsidRPr="00194A25" w:rsidRDefault="00194A25" w:rsidP="00194A25">
      <w:pPr>
        <w:numPr>
          <w:ilvl w:val="1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194A25">
        <w:rPr>
          <w:rFonts w:ascii="Times New Roman" w:eastAsia="Times New Roman" w:hAnsi="Times New Roman"/>
          <w:sz w:val="24"/>
          <w:szCs w:val="24"/>
          <w:lang w:val="sk-SK" w:eastAsia="sk-SK"/>
        </w:rPr>
        <w:t>volí a odvoláva predsedu Najvyššieho kontrolného úradu a troch členov Súdnej rady SR.</w:t>
      </w:r>
    </w:p>
    <w:p w:rsidR="00194A25" w:rsidRPr="00194A25" w:rsidRDefault="00194A25" w:rsidP="00194A25">
      <w:pPr>
        <w:autoSpaceDN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194A25" w:rsidRPr="00194A25" w:rsidRDefault="00194A25" w:rsidP="00194A25">
      <w:pPr>
        <w:autoSpaceDN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581267" w:rsidRPr="00194A25" w:rsidRDefault="00581267" w:rsidP="00194A25">
      <w:pPr>
        <w:rPr>
          <w:lang w:val="sk-SK"/>
        </w:rPr>
      </w:pPr>
    </w:p>
    <w:sectPr w:rsidR="00581267" w:rsidRPr="00194A2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A3" w:rsidRDefault="00DA5ABA">
      <w:pPr>
        <w:spacing w:after="0" w:line="240" w:lineRule="auto"/>
      </w:pPr>
      <w:r>
        <w:separator/>
      </w:r>
    </w:p>
  </w:endnote>
  <w:endnote w:type="continuationSeparator" w:id="0">
    <w:p w:rsidR="00394CA3" w:rsidRDefault="00D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DA5ABA">
    <w:pPr>
      <w:pStyle w:val="Pidipagin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e4qQEAAEYDAAAOAAAAZHJzL2Uyb0RvYy54bWysUk2P2yAQvVfqf0DcG9vRbrK14uxho1SV&#10;qnbVbX8AwWAjAYMGGif/vgNxsv24Vb3gGfPmMe/NbB5PzrKjwmjAd7xZ1JwpL6E3fuj492/7dw+c&#10;xSR8Lyx41fGzivxx+/bNZgqtWsIItlfIiMTHdgodH1MKbVVFOSon4gKC8nSpAZ1IlOJQ9SgmYne2&#10;Wtb1qpoA+4AgVYz0d3e55NvCr7WS6YvWUSVmO069pXJiOQ/5rLYb0Q4owmjk3Ib4hy6cMJ4evVHt&#10;RBLsB5q/qJyRCBF0WkhwFWhtpCoaSE1T/6HmZRRBFS1kTgw3m+L/o5Wfj8/ITN/xO868cDSiryrR&#10;wAawwJrszxRiS7CX8IxzFinMYk8aXf6SDHYqnp5vnqpTYpJ+rldNfbemLZB0t7xfN+v7TFq9VgeM&#10;6YMCx3LQcaSZFSvF8VNMF+gVkh+LYE2/N9aWBIfDk0V2FDTf9/uH1VMZKbH/BrM+gz3kMmIUbSbc&#10;iTheCgt27ipDqyz5IjJHB+jPZJL96Mn4vETXAK/BYQ5yt7mChlUkzouVt+HXvKBe13/7EwAA//8D&#10;AFBLAwQUAAYACAAAACEAr2KEJuIAAAAMAQAADwAAAGRycy9kb3ducmV2LnhtbEyPwU7DMAyG75P2&#10;DpGRuExb0o1OozSdEAgugATbxDlrvLZb41RNupa3Jz3Bybb86ffndDuYml2xdZUlCdFCAEPKra6o&#10;kHDYv8w3wJxXpFVtCSX8oINtNp2kKtG2py+87nzBQgi5REkovW8Szl1eolFuYRuksDvZ1igfxrbg&#10;ulV9CDc1Xwqx5kZVFC6UqsGnEvPLrjMSlqvZ63dFb8O5193zZyHyy8fpXcrbm+HxAZjHwf/BMOoH&#10;dciC09F2pB2rJcyjaHUXWAnrONSREJs4AnYcu/geeJby/09kvwAAAP//AwBQSwECLQAUAAYACAAA&#10;ACEAtoM4kv4AAADhAQAAEwAAAAAAAAAAAAAAAAAAAAAAW0NvbnRlbnRfVHlwZXNdLnhtbFBLAQIt&#10;ABQABgAIAAAAIQA4/SH/1gAAAJQBAAALAAAAAAAAAAAAAAAAAC8BAABfcmVscy8ucmVsc1BLAQIt&#10;ABQABgAIAAAAIQC8jGe4qQEAAEYDAAAOAAAAAAAAAAAAAAAAAC4CAABkcnMvZTJvRG9jLnhtbFBL&#10;AQItABQABgAIAAAAIQCvYoQm4gAAAAwBAAAPAAAAAAAAAAAAAAAAAAMEAABkcnMvZG93bnJldi54&#10;bWxQSwUGAAAAAAQABADzAAAAEgUAAAAA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A3" w:rsidRDefault="00DA5A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4CA3" w:rsidRDefault="00DA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405C14">
    <w:pPr>
      <w:pStyle w:val="Intestazione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3B14090D" wp14:editId="0AAC0F8B">
          <wp:simplePos x="0" y="0"/>
          <wp:positionH relativeFrom="column">
            <wp:posOffset>-89535</wp:posOffset>
          </wp:positionH>
          <wp:positionV relativeFrom="paragraph">
            <wp:posOffset>-40640</wp:posOffset>
          </wp:positionV>
          <wp:extent cx="981075" cy="782955"/>
          <wp:effectExtent l="0" t="0" r="9525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A5ABA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AD3E863" wp14:editId="1E86F93B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</w:p>
  <w:p w:rsid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</w:p>
  <w:p w:rsid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</w:p>
  <w:p w:rsidR="00405C14" w:rsidRP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  <w:r w:rsidRPr="00405C14">
      <w:rPr>
        <w:rFonts w:ascii="Times New Roman" w:hAnsi="Times New Roman"/>
        <w:b/>
        <w:bCs/>
        <w:color w:val="1F4E79"/>
        <w:sz w:val="24"/>
        <w:szCs w:val="24"/>
        <w:lang w:val="sk-SK"/>
      </w:rPr>
      <w:t>DIGI SCHOOL 2020-1-SK01-KA226-SCH-094350 Občianska náuka</w:t>
    </w:r>
  </w:p>
  <w:p w:rsidR="00F36176" w:rsidRPr="00194A25" w:rsidRDefault="00405C14" w:rsidP="00194A25">
    <w:pPr>
      <w:pStyle w:val="Hlavika"/>
      <w:jc w:val="center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D9AD7" wp14:editId="6D49FDCC">
              <wp:simplePos x="0" y="0"/>
              <wp:positionH relativeFrom="column">
                <wp:posOffset>-272415</wp:posOffset>
              </wp:positionH>
              <wp:positionV relativeFrom="paragraph">
                <wp:posOffset>279400</wp:posOffset>
              </wp:positionV>
              <wp:extent cx="6771640" cy="0"/>
              <wp:effectExtent l="0" t="0" r="10160" b="1905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1640" cy="0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22pt;width:533.2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JItAEAAFADAAAOAAAAZHJzL2Uyb0RvYy54bWysU8lu2zAQvRfoPxC8x7IT10kEyznYcC9F&#10;a6DLneYiEeCGGday/75DynG3W9ELNZzl8c2b0frl7B07aUAbQ8cXszlnOsiobOg7/vXL/u6JM8wi&#10;KOFi0B2/aOQvm7dv1mNq9X0colMaGIEEbMfU8SHn1DYNykF7gbOYdKCgieBFpiv0jQIxErp3zf18&#10;vmrGCCpBlBqRvLspyDcV3xgt8ydjUGfmOk7ccj2hnsdyNpu1aHsQabDySkP8AwsvbKBHb1A7kQX7&#10;DvYvKG8lRIwmz2T0TTTGSl17oG4W8z+6+TyIpGsvJA6mm0z4/2Dlx9MBmFUdf+AsCE8j2sYQdM4R&#10;NFMWLFlsWXQaE7aUvg0HuN4wHaA0fTbgmXE2faMVqDJQY+xcVb7cVNbnzCQ5V4+Pi9WShiFfY80E&#10;UaASYH6vo2fF6DhmELYfcuUkidMEL04fMBMJKnwtKMUh7q1zdaQusJGeeli+q3wwOqtKsKQh9Met&#10;A3YStBTP+6fVtu4Bgf2WVpB3Aocpr4amdfE26yIBFbhAnyLMJEWxjlFdqkLVT2OridcVK3vx671W&#10;//wRNj8AAAD//wMAUEsDBBQABgAIAAAAIQCpqBRj4AAAAAoBAAAPAAAAZHJzL2Rvd25yZXYueG1s&#10;TI/LTsMwEEX3SPyDNUhsUOs0DRWEOBXvDaJSC1VZuvEQR8TjyHba9O9x1QUsZ+bozrnFfDAt26Hz&#10;jSUBk3ECDKmyqqFawOfHy+gGmA+SlGwtoYADepiX52eFzJXd0xJ3q1CzGEI+lwJ0CF3Oua80GunH&#10;tkOKt2/rjAxxdDVXTu5juGl5miQzbmRD8YOWHT5qrH5WvRHw5tZXh9cFvrvl82TW6yf7sNh8CXF5&#10;MdzfAQs4hD8YjvpRHcrotLU9Kc9aAaMsvY2ogCyLnY5Akk6vgW1PG14W/H+F8hcAAP//AwBQSwEC&#10;LQAUAAYACAAAACEAtoM4kv4AAADhAQAAEwAAAAAAAAAAAAAAAAAAAAAAW0NvbnRlbnRfVHlwZXNd&#10;LnhtbFBLAQItABQABgAIAAAAIQA4/SH/1gAAAJQBAAALAAAAAAAAAAAAAAAAAC8BAABfcmVscy8u&#10;cmVsc1BLAQItABQABgAIAAAAIQBHQeJItAEAAFADAAAOAAAAAAAAAAAAAAAAAC4CAABkcnMvZTJv&#10;RG9jLnhtbFBLAQItABQABgAIAAAAIQCpqBRj4AAAAAoBAAAPAAAAAAAAAAAAAAAAAA4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  <w:r w:rsidR="004D1189">
      <w:rPr>
        <w:rFonts w:ascii="Times New Roman" w:hAnsi="Times New Roman"/>
        <w:b/>
        <w:bCs/>
        <w:color w:val="215868" w:themeColor="accent5" w:themeShade="80"/>
        <w:sz w:val="24"/>
        <w:szCs w:val="24"/>
      </w:rPr>
      <w:t xml:space="preserve"> </w:t>
    </w:r>
    <w:r w:rsidR="00194A25">
      <w:rPr>
        <w:rFonts w:ascii="Times New Roman" w:hAnsi="Times New Roman"/>
        <w:b/>
        <w:bCs/>
        <w:color w:val="215868" w:themeColor="accent5" w:themeShade="80"/>
        <w:sz w:val="24"/>
        <w:szCs w:val="24"/>
      </w:rPr>
      <w:t>Deľba štátnej moci – zákonodarná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B5"/>
    <w:multiLevelType w:val="hybridMultilevel"/>
    <w:tmpl w:val="C66CB5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51E"/>
    <w:multiLevelType w:val="hybridMultilevel"/>
    <w:tmpl w:val="F4DEAD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017"/>
    <w:multiLevelType w:val="hybridMultilevel"/>
    <w:tmpl w:val="6FC208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D03"/>
    <w:multiLevelType w:val="hybridMultilevel"/>
    <w:tmpl w:val="D2860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2E46"/>
    <w:multiLevelType w:val="hybridMultilevel"/>
    <w:tmpl w:val="F3AEE5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D2A77"/>
    <w:multiLevelType w:val="hybridMultilevel"/>
    <w:tmpl w:val="C1BCBE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C5D5B"/>
    <w:multiLevelType w:val="hybridMultilevel"/>
    <w:tmpl w:val="2502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01E46"/>
    <w:multiLevelType w:val="hybridMultilevel"/>
    <w:tmpl w:val="529A67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A2D26"/>
    <w:multiLevelType w:val="hybridMultilevel"/>
    <w:tmpl w:val="9080E4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03290"/>
    <w:multiLevelType w:val="hybridMultilevel"/>
    <w:tmpl w:val="E15663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81CFE"/>
    <w:multiLevelType w:val="hybridMultilevel"/>
    <w:tmpl w:val="FACE7DC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73E2E"/>
    <w:multiLevelType w:val="hybridMultilevel"/>
    <w:tmpl w:val="3E4EB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3317D"/>
    <w:multiLevelType w:val="multilevel"/>
    <w:tmpl w:val="F768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262A7"/>
    <w:multiLevelType w:val="hybridMultilevel"/>
    <w:tmpl w:val="C4F0B438"/>
    <w:lvl w:ilvl="0" w:tplc="54A6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AD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20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4D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C3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86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49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0E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C9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23E68"/>
    <w:multiLevelType w:val="hybridMultilevel"/>
    <w:tmpl w:val="DDAEE6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D2D1F"/>
    <w:multiLevelType w:val="hybridMultilevel"/>
    <w:tmpl w:val="834695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A3C51"/>
    <w:multiLevelType w:val="hybridMultilevel"/>
    <w:tmpl w:val="4D286E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7880"/>
    <w:multiLevelType w:val="multilevel"/>
    <w:tmpl w:val="2540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91A94"/>
    <w:multiLevelType w:val="hybridMultilevel"/>
    <w:tmpl w:val="B2D8BC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B2758"/>
    <w:multiLevelType w:val="hybridMultilevel"/>
    <w:tmpl w:val="78F02BA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F76099"/>
    <w:multiLevelType w:val="hybridMultilevel"/>
    <w:tmpl w:val="230E34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82B0E"/>
    <w:multiLevelType w:val="hybridMultilevel"/>
    <w:tmpl w:val="64F225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D201C"/>
    <w:multiLevelType w:val="hybridMultilevel"/>
    <w:tmpl w:val="C3DC760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12926"/>
    <w:multiLevelType w:val="hybridMultilevel"/>
    <w:tmpl w:val="F2B6E0DC"/>
    <w:lvl w:ilvl="0" w:tplc="058638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D1AD9"/>
    <w:multiLevelType w:val="hybridMultilevel"/>
    <w:tmpl w:val="742E73E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330E1"/>
    <w:multiLevelType w:val="hybridMultilevel"/>
    <w:tmpl w:val="DEE0D1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E7EA7"/>
    <w:multiLevelType w:val="hybridMultilevel"/>
    <w:tmpl w:val="959AD6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6349E"/>
    <w:multiLevelType w:val="hybridMultilevel"/>
    <w:tmpl w:val="BD0042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F9046F"/>
    <w:multiLevelType w:val="hybridMultilevel"/>
    <w:tmpl w:val="8DAEEA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C6B8F"/>
    <w:multiLevelType w:val="hybridMultilevel"/>
    <w:tmpl w:val="6454515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632BFA"/>
    <w:multiLevelType w:val="hybridMultilevel"/>
    <w:tmpl w:val="893E8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624848"/>
    <w:multiLevelType w:val="hybridMultilevel"/>
    <w:tmpl w:val="67A217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C05C4"/>
    <w:multiLevelType w:val="hybridMultilevel"/>
    <w:tmpl w:val="A9301242"/>
    <w:lvl w:ilvl="0" w:tplc="DC5EC36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06592"/>
    <w:multiLevelType w:val="hybridMultilevel"/>
    <w:tmpl w:val="AC84E680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25579C5"/>
    <w:multiLevelType w:val="hybridMultilevel"/>
    <w:tmpl w:val="BBEE39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E141A"/>
    <w:multiLevelType w:val="hybridMultilevel"/>
    <w:tmpl w:val="D0281F00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90209A8"/>
    <w:multiLevelType w:val="hybridMultilevel"/>
    <w:tmpl w:val="3D0A21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28"/>
  </w:num>
  <w:num w:numId="4">
    <w:abstractNumId w:val="8"/>
  </w:num>
  <w:num w:numId="5">
    <w:abstractNumId w:val="3"/>
  </w:num>
  <w:num w:numId="6">
    <w:abstractNumId w:val="25"/>
  </w:num>
  <w:num w:numId="7">
    <w:abstractNumId w:val="0"/>
  </w:num>
  <w:num w:numId="8">
    <w:abstractNumId w:val="13"/>
  </w:num>
  <w:num w:numId="9">
    <w:abstractNumId w:val="17"/>
  </w:num>
  <w:num w:numId="10">
    <w:abstractNumId w:val="6"/>
  </w:num>
  <w:num w:numId="11">
    <w:abstractNumId w:val="12"/>
  </w:num>
  <w:num w:numId="12">
    <w:abstractNumId w:val="32"/>
  </w:num>
  <w:num w:numId="13">
    <w:abstractNumId w:val="27"/>
  </w:num>
  <w:num w:numId="14">
    <w:abstractNumId w:val="2"/>
  </w:num>
  <w:num w:numId="15">
    <w:abstractNumId w:val="23"/>
  </w:num>
  <w:num w:numId="16">
    <w:abstractNumId w:val="29"/>
  </w:num>
  <w:num w:numId="17">
    <w:abstractNumId w:val="33"/>
  </w:num>
  <w:num w:numId="18">
    <w:abstractNumId w:val="10"/>
  </w:num>
  <w:num w:numId="19">
    <w:abstractNumId w:val="19"/>
  </w:num>
  <w:num w:numId="20">
    <w:abstractNumId w:val="15"/>
  </w:num>
  <w:num w:numId="21">
    <w:abstractNumId w:val="21"/>
  </w:num>
  <w:num w:numId="22">
    <w:abstractNumId w:val="36"/>
  </w:num>
  <w:num w:numId="23">
    <w:abstractNumId w:val="34"/>
  </w:num>
  <w:num w:numId="24">
    <w:abstractNumId w:val="9"/>
  </w:num>
  <w:num w:numId="25">
    <w:abstractNumId w:val="20"/>
  </w:num>
  <w:num w:numId="26">
    <w:abstractNumId w:val="18"/>
  </w:num>
  <w:num w:numId="27">
    <w:abstractNumId w:val="5"/>
  </w:num>
  <w:num w:numId="28">
    <w:abstractNumId w:val="31"/>
  </w:num>
  <w:num w:numId="29">
    <w:abstractNumId w:val="4"/>
  </w:num>
  <w:num w:numId="30">
    <w:abstractNumId w:val="22"/>
  </w:num>
  <w:num w:numId="31">
    <w:abstractNumId w:val="1"/>
  </w:num>
  <w:num w:numId="32">
    <w:abstractNumId w:val="24"/>
  </w:num>
  <w:num w:numId="33">
    <w:abstractNumId w:val="30"/>
  </w:num>
  <w:num w:numId="34">
    <w:abstractNumId w:val="26"/>
  </w:num>
  <w:num w:numId="35">
    <w:abstractNumId w:val="7"/>
  </w:num>
  <w:num w:numId="36">
    <w:abstractNumId w:val="14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1267"/>
    <w:rsid w:val="000C58F1"/>
    <w:rsid w:val="00194A25"/>
    <w:rsid w:val="00394CA3"/>
    <w:rsid w:val="00405C14"/>
    <w:rsid w:val="004D1189"/>
    <w:rsid w:val="00581267"/>
    <w:rsid w:val="00C01D29"/>
    <w:rsid w:val="00DA5ABA"/>
    <w:rsid w:val="00E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semiHidden/>
    <w:rsid w:val="004D1189"/>
    <w:p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D1189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4D1189"/>
    <w:pPr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semiHidden/>
    <w:rsid w:val="004D1189"/>
    <w:p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D1189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4D1189"/>
    <w:pPr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- Europass</dc:creator>
  <cp:lastModifiedBy>Profesor</cp:lastModifiedBy>
  <cp:revision>2</cp:revision>
  <cp:lastPrinted>2021-09-24T09:36:00Z</cp:lastPrinted>
  <dcterms:created xsi:type="dcterms:W3CDTF">2021-09-24T11:35:00Z</dcterms:created>
  <dcterms:modified xsi:type="dcterms:W3CDTF">2021-09-24T11:35:00Z</dcterms:modified>
</cp:coreProperties>
</file>