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38" w:rsidRPr="000D7E38" w:rsidRDefault="000D7E38" w:rsidP="000D7E38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sk-SK" w:eastAsia="sk-SK"/>
        </w:rPr>
      </w:pPr>
      <w:bookmarkStart w:id="0" w:name="_GoBack"/>
      <w:bookmarkEnd w:id="0"/>
      <w:r w:rsidRPr="000D7E38">
        <w:rPr>
          <w:rFonts w:ascii="Times New Roman" w:eastAsia="Times New Roman" w:hAnsi="Times New Roman"/>
          <w:b/>
          <w:bCs/>
          <w:sz w:val="28"/>
          <w:szCs w:val="28"/>
          <w:lang w:val="sk-SK" w:eastAsia="sk-SK"/>
        </w:rPr>
        <w:t>Formovanie Európskej Únie v historických súvislostiach</w:t>
      </w:r>
    </w:p>
    <w:p w:rsidR="000D7E38" w:rsidRPr="000D7E38" w:rsidRDefault="000D7E38" w:rsidP="000D7E38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u w:val="single"/>
          <w:lang w:val="sk-SK" w:eastAsia="sk-SK"/>
        </w:rPr>
      </w:pP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Integrácia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spájanie častí v jeden celok, vytváranie nadradeného celku, sceľovanie. </w:t>
      </w: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Integračný proces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 zjednocovanie, spolupráca jednotlivých štátov v oblasti politiky, ekonom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i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ky..., vytváranie nadnárodných celkov, spoločenstiev.</w:t>
      </w: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Príčiny: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1. politická aj ekonomická závislosť krajín na USA ( po II. svetovej vojne USA poskytuje hospodársku, finančnú pomoc pre vojnou zničenú Európu – Marshallov plán).</w:t>
      </w: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             2. ZSSR a jeho vplyv v strednej a východnej Európe.</w:t>
      </w: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             3. Rozdelenie Európy na bloky  medzi veľmoci USA a ZSSR.</w:t>
      </w: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sk-SK"/>
        </w:rPr>
        <w:t>Formy integrácie:</w:t>
      </w:r>
    </w:p>
    <w:p w:rsidR="000D7E38" w:rsidRPr="000D7E38" w:rsidRDefault="000D7E38" w:rsidP="000D7E38">
      <w:pPr>
        <w:numPr>
          <w:ilvl w:val="0"/>
          <w:numId w:val="4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pásmo voľného obchodu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spolupracujúce krajiny rušia vo vzájomnom obchode clá a kvantitatívne obmedzenia tovarov a služieb, voči nečlenským krajinám uplatňujú obm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e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dzenia podľa svojich potrieb.  </w:t>
      </w:r>
    </w:p>
    <w:p w:rsidR="000D7E38" w:rsidRPr="000D7E38" w:rsidRDefault="000D7E38" w:rsidP="000D7E38">
      <w:pPr>
        <w:numPr>
          <w:ilvl w:val="0"/>
          <w:numId w:val="4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colná únia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členské štáty rušia medzi sebou clá, ale voči nečlenským krajinám uplatňujú spoločnú colnú politiku, jednotné colné tarify na dovoz tovarov a služieb.</w:t>
      </w:r>
    </w:p>
    <w:p w:rsidR="000D7E38" w:rsidRPr="000D7E38" w:rsidRDefault="000D7E38" w:rsidP="000D7E38">
      <w:pPr>
        <w:numPr>
          <w:ilvl w:val="0"/>
          <w:numId w:val="4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spoločný trh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zrušenie obmedzení pohybu tovarov, výrobných faktorov a pracovných síl (voľný pohyb).</w:t>
      </w:r>
    </w:p>
    <w:p w:rsidR="000D7E38" w:rsidRPr="000D7E38" w:rsidRDefault="000D7E38" w:rsidP="000D7E38">
      <w:pPr>
        <w:numPr>
          <w:ilvl w:val="0"/>
          <w:numId w:val="4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hospodárska únia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zrušenie obmedzení, zjednotenie a určitá harmonizácia a koordinácia hospodárskych politík.</w:t>
      </w:r>
    </w:p>
    <w:p w:rsidR="000D7E38" w:rsidRPr="000D7E38" w:rsidRDefault="000D7E38" w:rsidP="000D7E38">
      <w:pPr>
        <w:numPr>
          <w:ilvl w:val="0"/>
          <w:numId w:val="4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menová únia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spoločná menová politika, spoločná mena (euro), jednotné pravidlá peňažn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é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ho obehu, spoločná centrálna banka, jednotná menová politika voči nečlenským krajinám.</w:t>
      </w: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sk-SK"/>
        </w:rPr>
        <w:t>Integrácia v západnej Európe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 2.svetovej vojne sa vo svete objavujú tendencie zjednocovania na politickej a ekonomickej úrovni. Príčinou takéhoto postupu bola snaha o zabránenie vzniku ďalšej vojny a snaha o hospodársku pomoc. 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1945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vznikla celosvetová organizácia OSN – </w:t>
      </w: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Organizácia spojených národov</w:t>
      </w:r>
      <w:r w:rsidRPr="000D7E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1946 - 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Winston</w:t>
      </w:r>
      <w:proofErr w:type="spellEnd"/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 </w:t>
      </w:r>
      <w:proofErr w:type="spellStart"/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Churchill</w:t>
      </w:r>
      <w:proofErr w:type="spellEnd"/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vyslovil myšlienku, že v Európe by mali vzniknúť </w:t>
      </w: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Spojené štáty európske.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1945 – 1950 - 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počiatky integrácie v Európe</w:t>
      </w:r>
      <w:r w:rsidRPr="000D7E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, 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kedy vzniká organizácia pre európsku ho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s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podársku spoluprácu. 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1948 - 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medzi Belgickom, Holandskom a Luxemburskom funguje </w:t>
      </w: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colná únia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1949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 vznikla </w:t>
      </w: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Európska rada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1950 - 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vo Francúzsku</w:t>
      </w:r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Jean</w:t>
      </w:r>
      <w:proofErr w:type="spellEnd"/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 </w:t>
      </w:r>
      <w:proofErr w:type="spellStart"/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Monnet</w:t>
      </w:r>
      <w:proofErr w:type="spellEnd"/>
      <w:r w:rsidRPr="000D7E38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 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predniesol návrh, v ktorom odporúčal aby produkcia u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h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lia a ocele Francúzska a Nemecka bola riadená nadnárodným orgánom.</w:t>
      </w:r>
      <w:r w:rsidRPr="000D7E38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 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9. máj 1950 - </w:t>
      </w:r>
      <w:proofErr w:type="spellStart"/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Schumanova</w:t>
      </w:r>
      <w:proofErr w:type="spellEnd"/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 deklarácia - 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francúzsky minister zahraničných vecí </w:t>
      </w:r>
      <w:proofErr w:type="spellStart"/>
      <w:r w:rsidRPr="000D7E38">
        <w:rPr>
          <w:rFonts w:ascii="Times New Roman" w:hAnsi="Times New Roman"/>
          <w:i/>
          <w:iCs/>
          <w:sz w:val="24"/>
          <w:szCs w:val="24"/>
          <w:lang w:val="sk-SK"/>
        </w:rPr>
        <w:t>Robert</w:t>
      </w:r>
      <w:proofErr w:type="spellEnd"/>
      <w:r w:rsidRPr="000D7E38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0D7E38">
        <w:rPr>
          <w:rFonts w:ascii="Times New Roman" w:hAnsi="Times New Roman"/>
          <w:i/>
          <w:iCs/>
          <w:sz w:val="24"/>
          <w:szCs w:val="24"/>
          <w:lang w:val="sk-SK"/>
        </w:rPr>
        <w:t>Schuman</w:t>
      </w:r>
      <w:proofErr w:type="spellEnd"/>
      <w:r w:rsidRPr="000D7E38">
        <w:rPr>
          <w:rFonts w:ascii="Times New Roman" w:hAnsi="Times New Roman"/>
          <w:sz w:val="24"/>
          <w:szCs w:val="24"/>
          <w:lang w:val="sk-SK"/>
        </w:rPr>
        <w:t xml:space="preserve"> vyzval ďalšie európske krajiny, aby spoločne spravovali svoje zdroje uhlia a ocele. Keďže uhlie a oceľ sú nevyhnutnými zložkami na výrobu zbraní, dúfal, že táto spolupráca znemožní budúcu vojnu. Navyše, uhlie a oceľ boli veľmi dôležité aj pre obnovu kontinentu po vojne.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1951 - Zmluva o založení Európskeho spoločenstva uhlia a ocele (ESUO)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- 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Francúzsko, Nemecká spolková republika, Taliansko, Belgicko, Holandsko a Luxembursko reagovali na deklaráciu </w:t>
      </w:r>
      <w:proofErr w:type="spellStart"/>
      <w:r w:rsidRPr="000D7E38">
        <w:rPr>
          <w:rFonts w:ascii="Times New Roman" w:hAnsi="Times New Roman"/>
          <w:sz w:val="24"/>
          <w:szCs w:val="24"/>
          <w:lang w:val="sk-SK"/>
        </w:rPr>
        <w:t>Roberta</w:t>
      </w:r>
      <w:proofErr w:type="spellEnd"/>
      <w:r w:rsidRPr="000D7E3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D7E38">
        <w:rPr>
          <w:rFonts w:ascii="Times New Roman" w:hAnsi="Times New Roman"/>
          <w:sz w:val="24"/>
          <w:szCs w:val="24"/>
          <w:lang w:val="sk-SK"/>
        </w:rPr>
        <w:t>Schumana</w:t>
      </w:r>
      <w:proofErr w:type="spellEnd"/>
      <w:r w:rsidRPr="000D7E38">
        <w:rPr>
          <w:rFonts w:ascii="Times New Roman" w:hAnsi="Times New Roman"/>
          <w:sz w:val="24"/>
          <w:szCs w:val="24"/>
          <w:lang w:val="sk-SK"/>
        </w:rPr>
        <w:t xml:space="preserve"> pozitívne. Týchto šesť krajín podpísalo v roku 1951 Parížsku zmluvu (Zmluvu o založení Európskeho spoločenstva uhlia a ocele). Európske spoločenstvo uhlia a ocele (ESUO) nadobudlo platnosť v roku 1952.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1957 - Rímske zmluvy -  Zmluva o Európskom hospodárskom spoločenstve (EHS) a Európskom spoločenstve atómovej energie (EUROATOM) - </w:t>
      </w:r>
      <w:r w:rsidRPr="000D7E38">
        <w:rPr>
          <w:rFonts w:ascii="Times New Roman" w:hAnsi="Times New Roman"/>
          <w:sz w:val="24"/>
          <w:szCs w:val="24"/>
          <w:lang w:val="sk-SK"/>
        </w:rPr>
        <w:t>prvých šesť krajín podpís</w:t>
      </w:r>
      <w:r w:rsidRPr="000D7E38">
        <w:rPr>
          <w:rFonts w:ascii="Times New Roman" w:hAnsi="Times New Roman"/>
          <w:sz w:val="24"/>
          <w:szCs w:val="24"/>
          <w:lang w:val="sk-SK"/>
        </w:rPr>
        <w:t>a</w:t>
      </w:r>
      <w:r w:rsidRPr="000D7E38">
        <w:rPr>
          <w:rFonts w:ascii="Times New Roman" w:hAnsi="Times New Roman"/>
          <w:sz w:val="24"/>
          <w:szCs w:val="24"/>
          <w:lang w:val="sk-SK"/>
        </w:rPr>
        <w:t>lo dve nové zmluvy: Zmluvu o Európskom hospodárskom spoločenstve (EHS) a Zmluvu o založení Európskeho spoločenstva pre atómovú energiu (EUROATOM), známe aj ako Rí</w:t>
      </w:r>
      <w:r w:rsidRPr="000D7E38">
        <w:rPr>
          <w:rFonts w:ascii="Times New Roman" w:hAnsi="Times New Roman"/>
          <w:sz w:val="24"/>
          <w:szCs w:val="24"/>
          <w:lang w:val="sk-SK"/>
        </w:rPr>
        <w:t>m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ske zmluvy. </w:t>
      </w:r>
    </w:p>
    <w:p w:rsidR="000D7E38" w:rsidRPr="000D7E38" w:rsidRDefault="000D7E38" w:rsidP="000D7E38">
      <w:pPr>
        <w:numPr>
          <w:ilvl w:val="1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Európske hospodárske spoločenstvo (EHS) – </w:t>
      </w:r>
      <w:r w:rsidRPr="000D7E38">
        <w:rPr>
          <w:rFonts w:ascii="Times New Roman" w:hAnsi="Times New Roman"/>
          <w:sz w:val="24"/>
          <w:szCs w:val="24"/>
          <w:lang w:val="sk-SK"/>
        </w:rPr>
        <w:t>štáty sa dohodli, že postupne prem</w:t>
      </w:r>
      <w:r w:rsidRPr="000D7E38">
        <w:rPr>
          <w:rFonts w:ascii="Times New Roman" w:hAnsi="Times New Roman"/>
          <w:sz w:val="24"/>
          <w:szCs w:val="24"/>
          <w:lang w:val="sk-SK"/>
        </w:rPr>
        <w:t>e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nia svoje oddelené hospodárstva na spoločný trh, pričom začnú s colnou úniou. Táto zmluva bola začiatkom spolupráce v oblasti poľnohospodárstva, rybolovu, prístavnej politiky a dopravnej politiky. </w:t>
      </w:r>
    </w:p>
    <w:p w:rsidR="000D7E38" w:rsidRPr="000D7E38" w:rsidRDefault="000D7E38" w:rsidP="000D7E38">
      <w:pPr>
        <w:numPr>
          <w:ilvl w:val="1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Európske spoločenstvo atómovej energie (EUROATOM)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 - spolupráca v oblasti atómovej energie bola zameraná na spoločný výskum možností civilného využitia atómovej energie. </w:t>
      </w: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 xml:space="preserve">             Rímske zmluvy nadobudli platnosť v roku 1958.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60. roky 20. storočia -  Úspech a boj - </w:t>
      </w:r>
      <w:r w:rsidRPr="000D7E38">
        <w:rPr>
          <w:rFonts w:ascii="Times New Roman" w:hAnsi="Times New Roman"/>
          <w:sz w:val="24"/>
          <w:szCs w:val="24"/>
          <w:lang w:val="sk-SK"/>
        </w:rPr>
        <w:t>obchod v EHS bol rovnako rozsiahly ako obchod Spojených štátov a Sovietskeho zväzu. Európska spolupráca však po prijatí Rímskych zmlúv vstúpila do ťažkého obdobia: členské štáty  už nechceli preniesť ďalšie právomoci na európsku úroveň. Tieto náročné rokovania poznačili európsku spoluprácu v 60. a 70. rokoch 20. storočia.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1965 - Európske spoločenstvo (ES) - </w:t>
      </w:r>
      <w:r w:rsidRPr="000D7E38">
        <w:rPr>
          <w:rFonts w:ascii="Times New Roman" w:hAnsi="Times New Roman"/>
          <w:sz w:val="24"/>
          <w:szCs w:val="24"/>
          <w:lang w:val="sk-SK"/>
        </w:rPr>
        <w:t>Zmluva o zlúčení (podpísaná v roku 1965 a platná od roku 1967): ESUO, EHS a EUROATOM sa zlúčili do Európskeho spoločenstva (ES).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1968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 - v rámci ES sa začala realizovať </w:t>
      </w: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colná únia</w:t>
      </w:r>
      <w:r w:rsidRPr="000D7E38">
        <w:rPr>
          <w:rFonts w:ascii="Times New Roman" w:hAnsi="Times New Roman"/>
          <w:sz w:val="24"/>
          <w:szCs w:val="24"/>
          <w:lang w:val="sk-SK"/>
        </w:rPr>
        <w:t>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1979 -  Prvé priame voľby do Európskeho parlamentu - </w:t>
      </w:r>
      <w:r w:rsidRPr="000D7E38">
        <w:rPr>
          <w:rFonts w:ascii="Times New Roman" w:hAnsi="Times New Roman"/>
          <w:sz w:val="24"/>
          <w:szCs w:val="24"/>
          <w:lang w:val="sk-SK"/>
        </w:rPr>
        <w:t>občania Európskeho spoloče</w:t>
      </w:r>
      <w:r w:rsidRPr="000D7E38">
        <w:rPr>
          <w:rFonts w:ascii="Times New Roman" w:hAnsi="Times New Roman"/>
          <w:sz w:val="24"/>
          <w:szCs w:val="24"/>
          <w:lang w:val="sk-SK"/>
        </w:rPr>
        <w:t>n</w:t>
      </w:r>
      <w:r w:rsidRPr="000D7E38">
        <w:rPr>
          <w:rFonts w:ascii="Times New Roman" w:hAnsi="Times New Roman"/>
          <w:sz w:val="24"/>
          <w:szCs w:val="24"/>
          <w:lang w:val="sk-SK"/>
        </w:rPr>
        <w:t>stva si prvýkrát volili svojich zástupcov do  Európskeho parlamentu v júni 1979. V tom čase bolo deväť členských krajín, v ktorých sa volilo 410 poslancov EP na obdobie rokov 1979 – 1984.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1986 - Jednotný európsky akt –  </w:t>
      </w:r>
      <w:r w:rsidRPr="000D7E38">
        <w:rPr>
          <w:rFonts w:ascii="Times New Roman" w:hAnsi="Times New Roman"/>
          <w:sz w:val="24"/>
          <w:szCs w:val="24"/>
          <w:lang w:val="sk-SK"/>
        </w:rPr>
        <w:t>dvanásť</w:t>
      </w: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0D7E38">
        <w:rPr>
          <w:rFonts w:ascii="Times New Roman" w:hAnsi="Times New Roman"/>
          <w:sz w:val="24"/>
          <w:szCs w:val="24"/>
          <w:lang w:val="sk-SK"/>
        </w:rPr>
        <w:t>členských štátov rozhodlo, že do roku 1992 v</w:t>
      </w:r>
      <w:r w:rsidRPr="000D7E38">
        <w:rPr>
          <w:rFonts w:ascii="Times New Roman" w:hAnsi="Times New Roman"/>
          <w:sz w:val="24"/>
          <w:szCs w:val="24"/>
          <w:lang w:val="sk-SK"/>
        </w:rPr>
        <w:t>y</w:t>
      </w:r>
      <w:r w:rsidRPr="000D7E38">
        <w:rPr>
          <w:rFonts w:ascii="Times New Roman" w:hAnsi="Times New Roman"/>
          <w:sz w:val="24"/>
          <w:szCs w:val="24"/>
          <w:lang w:val="sk-SK"/>
        </w:rPr>
        <w:t>tvoria jednotný trh. Všetky prekážky obchodu a voľného pohybu sa museli dovtedy odstr</w:t>
      </w:r>
      <w:r w:rsidRPr="000D7E38">
        <w:rPr>
          <w:rFonts w:ascii="Times New Roman" w:hAnsi="Times New Roman"/>
          <w:sz w:val="24"/>
          <w:szCs w:val="24"/>
          <w:lang w:val="sk-SK"/>
        </w:rPr>
        <w:t>á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niť. Členské štáty začali spolupracovať aj v oblasti environmentálnej politiky a vedeckého výskumu. 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1992 - Zmluva o Európskej únii – Maastrichtská zmluva - </w:t>
      </w:r>
      <w:r w:rsidRPr="000D7E38">
        <w:rPr>
          <w:rFonts w:ascii="Times New Roman" w:hAnsi="Times New Roman"/>
          <w:sz w:val="24"/>
          <w:szCs w:val="24"/>
          <w:lang w:val="sk-SK"/>
        </w:rPr>
        <w:t>znamenala skutočný začiatok spolupráce na politickej úrovni, ktorá sa začala rozvíjať popri existujúcej hospodárskej i</w:t>
      </w:r>
      <w:r w:rsidRPr="000D7E38">
        <w:rPr>
          <w:rFonts w:ascii="Times New Roman" w:hAnsi="Times New Roman"/>
          <w:sz w:val="24"/>
          <w:szCs w:val="24"/>
          <w:lang w:val="sk-SK"/>
        </w:rPr>
        <w:t>n</w:t>
      </w:r>
      <w:r w:rsidRPr="000D7E38">
        <w:rPr>
          <w:rFonts w:ascii="Times New Roman" w:hAnsi="Times New Roman"/>
          <w:sz w:val="24"/>
          <w:szCs w:val="24"/>
          <w:lang w:val="sk-SK"/>
        </w:rPr>
        <w:t>tegrácii. Niekdajšie Európske spoločenstvo dostalo nový názov: Európska únia. (EÚ).</w:t>
      </w:r>
    </w:p>
    <w:p w:rsidR="000D7E38" w:rsidRPr="000D7E38" w:rsidRDefault="000D7E38" w:rsidP="000D7E38">
      <w:pPr>
        <w:autoSpaceDN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0D7E38">
        <w:rPr>
          <w:rFonts w:ascii="Times New Roman" w:hAnsi="Times New Roman"/>
          <w:sz w:val="24"/>
          <w:szCs w:val="24"/>
          <w:u w:val="single"/>
          <w:lang w:val="sk-SK"/>
        </w:rPr>
        <w:t>„Nová“ Európska Únia stála na týchto troch hlavných pilieroch: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Hospodárska integrácia: členské štáty sa rozhodli posilniť hospodársku integráciu a vytvoriť spoločnú európsku menu: euro.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Spolupráca v oblasti zahraničnej a bezpečnostnej politiky.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Spolupráca v oblasti vnútorných vecí a spravodlivosti.</w:t>
      </w:r>
    </w:p>
    <w:p w:rsidR="000D7E38" w:rsidRPr="000D7E38" w:rsidRDefault="000D7E38" w:rsidP="000D7E38">
      <w:pPr>
        <w:autoSpaceDN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Rozhodnutia o politických otázkach sa museli prijímať jednomyseľne. Každý členský štát mal právo veta.</w:t>
      </w:r>
    </w:p>
    <w:p w:rsidR="000D7E38" w:rsidRPr="000D7E38" w:rsidRDefault="000D7E38" w:rsidP="000D7E38">
      <w:pPr>
        <w:autoSpaceDN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Táto zmluva bola podpísaná vo februári v roku 1992 a vstúpila do platnosti 1. novembra 1993.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1993 - Otvorené hranice - </w:t>
      </w:r>
      <w:r w:rsidRPr="000D7E38">
        <w:rPr>
          <w:rFonts w:ascii="Times New Roman" w:hAnsi="Times New Roman"/>
          <w:sz w:val="24"/>
          <w:szCs w:val="24"/>
          <w:lang w:val="sk-SK"/>
        </w:rPr>
        <w:t>1. januára 1993 boli odstránené kontroly na vnútorných hran</w:t>
      </w:r>
      <w:r w:rsidRPr="000D7E38">
        <w:rPr>
          <w:rFonts w:ascii="Times New Roman" w:hAnsi="Times New Roman"/>
          <w:sz w:val="24"/>
          <w:szCs w:val="24"/>
          <w:lang w:val="sk-SK"/>
        </w:rPr>
        <w:t>i</w:t>
      </w:r>
      <w:r w:rsidRPr="000D7E38">
        <w:rPr>
          <w:rFonts w:ascii="Times New Roman" w:hAnsi="Times New Roman"/>
          <w:sz w:val="24"/>
          <w:szCs w:val="24"/>
          <w:lang w:val="sk-SK"/>
        </w:rPr>
        <w:t>ciach členských štátov Európskej únie. Do platnosti vstúpil jednotný trh s voľným pohybom osôb, tovaru, služieb a kapitálu.</w:t>
      </w:r>
    </w:p>
    <w:p w:rsidR="000D7E38" w:rsidRPr="000D7E38" w:rsidRDefault="000D7E38" w:rsidP="000D7E38">
      <w:pPr>
        <w:autoSpaceDN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1993 –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stanovené kritéria pre vstup do EÚ:</w:t>
      </w:r>
    </w:p>
    <w:p w:rsidR="000D7E38" w:rsidRPr="000D7E38" w:rsidRDefault="000D7E38" w:rsidP="000D7E38">
      <w:pPr>
        <w:numPr>
          <w:ilvl w:val="0"/>
          <w:numId w:val="45"/>
        </w:numPr>
        <w:autoSpaceDN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byť „európskou“ krajinou (geograficky alebo historicky),</w:t>
      </w:r>
    </w:p>
    <w:p w:rsidR="000D7E38" w:rsidRPr="000D7E38" w:rsidRDefault="000D7E38" w:rsidP="000D7E38">
      <w:pPr>
        <w:numPr>
          <w:ilvl w:val="0"/>
          <w:numId w:val="45"/>
        </w:numPr>
        <w:autoSpaceDN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 xml:space="preserve">rešpektovať zásady právneho štátu, </w:t>
      </w:r>
    </w:p>
    <w:p w:rsidR="000D7E38" w:rsidRPr="000D7E38" w:rsidRDefault="000D7E38" w:rsidP="000D7E38">
      <w:pPr>
        <w:numPr>
          <w:ilvl w:val="0"/>
          <w:numId w:val="45"/>
        </w:numPr>
        <w:autoSpaceDN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 xml:space="preserve">mať dobre fungujúce trhové hospodárstvo, </w:t>
      </w:r>
    </w:p>
    <w:p w:rsidR="000D7E38" w:rsidRPr="000D7E38" w:rsidRDefault="000D7E38" w:rsidP="000D7E38">
      <w:pPr>
        <w:numPr>
          <w:ilvl w:val="0"/>
          <w:numId w:val="45"/>
        </w:numPr>
        <w:autoSpaceDN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 xml:space="preserve">byť stabilným demokratickým štátom, </w:t>
      </w:r>
    </w:p>
    <w:p w:rsidR="000D7E38" w:rsidRPr="000D7E38" w:rsidRDefault="000D7E38" w:rsidP="000D7E38">
      <w:pPr>
        <w:numPr>
          <w:ilvl w:val="0"/>
          <w:numId w:val="45"/>
        </w:numPr>
        <w:autoSpaceDN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 xml:space="preserve">dodržiavať ľudské práva, </w:t>
      </w:r>
    </w:p>
    <w:p w:rsidR="000D7E38" w:rsidRPr="000D7E38" w:rsidRDefault="000D7E38" w:rsidP="000D7E38">
      <w:pPr>
        <w:numPr>
          <w:ilvl w:val="0"/>
          <w:numId w:val="45"/>
        </w:numPr>
        <w:autoSpaceDN/>
        <w:spacing w:after="0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 xml:space="preserve">zaviesť všetky existujúce pravidlá a právne predpisy EÚ, takzvané </w:t>
      </w:r>
      <w:proofErr w:type="spellStart"/>
      <w:r w:rsidRPr="000D7E38">
        <w:rPr>
          <w:rFonts w:ascii="Times New Roman" w:hAnsi="Times New Roman"/>
          <w:sz w:val="24"/>
          <w:szCs w:val="24"/>
          <w:lang w:val="sk-SK"/>
        </w:rPr>
        <w:t>acquis</w:t>
      </w:r>
      <w:proofErr w:type="spellEnd"/>
      <w:r w:rsidRPr="000D7E3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D7E38">
        <w:rPr>
          <w:rFonts w:ascii="Times New Roman" w:hAnsi="Times New Roman"/>
          <w:sz w:val="24"/>
          <w:szCs w:val="24"/>
          <w:lang w:val="sk-SK"/>
        </w:rPr>
        <w:t>comm</w:t>
      </w:r>
      <w:r w:rsidRPr="000D7E38">
        <w:rPr>
          <w:rFonts w:ascii="Times New Roman" w:hAnsi="Times New Roman"/>
          <w:sz w:val="24"/>
          <w:szCs w:val="24"/>
          <w:lang w:val="sk-SK"/>
        </w:rPr>
        <w:t>u</w:t>
      </w:r>
      <w:r w:rsidRPr="000D7E38">
        <w:rPr>
          <w:rFonts w:ascii="Times New Roman" w:hAnsi="Times New Roman"/>
          <w:sz w:val="24"/>
          <w:szCs w:val="24"/>
          <w:lang w:val="sk-SK"/>
        </w:rPr>
        <w:t>nautaire</w:t>
      </w:r>
      <w:proofErr w:type="spellEnd"/>
      <w:r w:rsidRPr="000D7E38">
        <w:rPr>
          <w:rFonts w:ascii="Times New Roman" w:hAnsi="Times New Roman"/>
          <w:sz w:val="24"/>
          <w:szCs w:val="24"/>
          <w:lang w:val="sk-SK"/>
        </w:rPr>
        <w:t>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1997 - Amsterdamská zmluva -  </w:t>
      </w:r>
      <w:r w:rsidRPr="000D7E38">
        <w:rPr>
          <w:rFonts w:ascii="Times New Roman" w:hAnsi="Times New Roman"/>
          <w:sz w:val="24"/>
          <w:szCs w:val="24"/>
          <w:lang w:val="sk-SK"/>
        </w:rPr>
        <w:t>z dôvodu narastajúceho počtu členských štátov EÚ bola potrebná reforma rozhodovacieho procesu: teda menej rozhodnutí založených na jednom</w:t>
      </w:r>
      <w:r w:rsidRPr="000D7E38">
        <w:rPr>
          <w:rFonts w:ascii="Times New Roman" w:hAnsi="Times New Roman"/>
          <w:sz w:val="24"/>
          <w:szCs w:val="24"/>
          <w:lang w:val="sk-SK"/>
        </w:rPr>
        <w:t>y</w:t>
      </w:r>
      <w:r w:rsidRPr="000D7E38">
        <w:rPr>
          <w:rFonts w:ascii="Times New Roman" w:hAnsi="Times New Roman"/>
          <w:sz w:val="24"/>
          <w:szCs w:val="24"/>
          <w:lang w:val="sk-SK"/>
        </w:rPr>
        <w:t>seľnom súhlase a viac rozhodnutí na základe väčšinového hlasovania. Prvým pokusom o zmenu týchto pravidiel bola Amsterdamská zmluva (ktorá bola podpísaná v roku 1997 a platnosť nadobudla v roku 1999). Zmluva však tieto očakávania nenaplnila.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2001 - Zmluva z </w:t>
      </w:r>
      <w:proofErr w:type="spellStart"/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>Nice</w:t>
      </w:r>
      <w:proofErr w:type="spellEnd"/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 - 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 druhý pokus o reformu Európskej únie (zmluva bola podpísaná v roku 2001 a platnosť nadobudla v roku 2003). Nevyriešila všetky problémy v riadení EÚ.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2002 - Zavedenie eura - </w:t>
      </w:r>
      <w:r w:rsidRPr="000D7E38">
        <w:rPr>
          <w:rFonts w:ascii="Times New Roman" w:hAnsi="Times New Roman"/>
          <w:sz w:val="24"/>
          <w:szCs w:val="24"/>
          <w:lang w:val="sk-SK"/>
        </w:rPr>
        <w:t>euro bolo do bankového systému zavedené v roku 1999. Až 1. j</w:t>
      </w:r>
      <w:r w:rsidRPr="000D7E38">
        <w:rPr>
          <w:rFonts w:ascii="Times New Roman" w:hAnsi="Times New Roman"/>
          <w:sz w:val="24"/>
          <w:szCs w:val="24"/>
          <w:lang w:val="sk-SK"/>
        </w:rPr>
        <w:t>a</w:t>
      </w:r>
      <w:r w:rsidRPr="000D7E38">
        <w:rPr>
          <w:rFonts w:ascii="Times New Roman" w:hAnsi="Times New Roman"/>
          <w:sz w:val="24"/>
          <w:szCs w:val="24"/>
          <w:lang w:val="sk-SK"/>
        </w:rPr>
        <w:t>nuára 2002 však začalo euro aktívne používať 12 členských štátov EÚ. Tri členské štáty EÚ, konkrétne Spojené kráľovstvo, Dánsko a Švédsko, sa rozhodli, že euro nezavedú a stále p</w:t>
      </w:r>
      <w:r w:rsidRPr="000D7E38">
        <w:rPr>
          <w:rFonts w:ascii="Times New Roman" w:hAnsi="Times New Roman"/>
          <w:sz w:val="24"/>
          <w:szCs w:val="24"/>
          <w:lang w:val="sk-SK"/>
        </w:rPr>
        <w:t>o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užívajú svoju národnú menu. Inštitúciou EÚ, ktorá sa venuje spravovaniu eura, je Európska centrálna banka. 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2004 - 2005 -  Európska ústava - </w:t>
      </w:r>
      <w:r w:rsidRPr="000D7E38">
        <w:rPr>
          <w:rFonts w:ascii="Times New Roman" w:hAnsi="Times New Roman"/>
          <w:sz w:val="24"/>
          <w:szCs w:val="24"/>
          <w:lang w:val="sk-SK"/>
        </w:rPr>
        <w:t>jún 2004 – sa uskutočnil tretí pokus o reformu EÚ. Vzhľadom na dôležitosť európskej ústavy sa niektoré krajiny rozhodli usporiadať refere</w:t>
      </w:r>
      <w:r w:rsidRPr="000D7E38">
        <w:rPr>
          <w:rFonts w:ascii="Times New Roman" w:hAnsi="Times New Roman"/>
          <w:sz w:val="24"/>
          <w:szCs w:val="24"/>
          <w:lang w:val="sk-SK"/>
        </w:rPr>
        <w:t>n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dum. Obyvatelia Francúzska a Holandska hlasovali proti tejto novej „Ústave pre Európu“. Keďže na nadobudnutie platnosti musí každú novú zmluvu EÚ schváliť každý členský štát, rozhodnutia týchto krajín poslali „ústavu“ rovno do koša. 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2007 - Lisabonská zmluva - </w:t>
      </w:r>
      <w:r w:rsidRPr="000D7E38">
        <w:rPr>
          <w:rFonts w:ascii="Times New Roman" w:hAnsi="Times New Roman"/>
          <w:sz w:val="24"/>
          <w:szCs w:val="24"/>
          <w:lang w:val="sk-SK"/>
        </w:rPr>
        <w:t>štvrtý pokus sa uskutočnil v roku 2007: európska ústava dost</w:t>
      </w:r>
      <w:r w:rsidRPr="000D7E38">
        <w:rPr>
          <w:rFonts w:ascii="Times New Roman" w:hAnsi="Times New Roman"/>
          <w:sz w:val="24"/>
          <w:szCs w:val="24"/>
          <w:lang w:val="sk-SK"/>
        </w:rPr>
        <w:t>a</w:t>
      </w:r>
      <w:r w:rsidRPr="000D7E38">
        <w:rPr>
          <w:rFonts w:ascii="Times New Roman" w:hAnsi="Times New Roman"/>
          <w:sz w:val="24"/>
          <w:szCs w:val="24"/>
          <w:lang w:val="sk-SK"/>
        </w:rPr>
        <w:t>la nový šat a bola premenovaná na Lisabonskú zmluvu. Túto zmluvu ratifikovali všetky členské štáty. Nové pravidlá vstúpili do platnosti v decembri 2009 a určujú spôsob fungov</w:t>
      </w:r>
      <w:r w:rsidRPr="000D7E38">
        <w:rPr>
          <w:rFonts w:ascii="Times New Roman" w:hAnsi="Times New Roman"/>
          <w:sz w:val="24"/>
          <w:szCs w:val="24"/>
          <w:lang w:val="sk-SK"/>
        </w:rPr>
        <w:t>a</w:t>
      </w:r>
      <w:r w:rsidRPr="000D7E38">
        <w:rPr>
          <w:rFonts w:ascii="Times New Roman" w:hAnsi="Times New Roman"/>
          <w:sz w:val="24"/>
          <w:szCs w:val="24"/>
          <w:lang w:val="sk-SK"/>
        </w:rPr>
        <w:t>nia EÚ až dodnes.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2012 -  Nobelova cena za mier pre Európu - </w:t>
      </w:r>
      <w:r w:rsidRPr="000D7E38">
        <w:rPr>
          <w:rFonts w:ascii="Times New Roman" w:hAnsi="Times New Roman"/>
          <w:sz w:val="24"/>
          <w:szCs w:val="24"/>
          <w:lang w:val="sk-SK"/>
        </w:rPr>
        <w:t>Európska únia získala Nobelovu cenu za mier. Táto cena bola uznaním šesťdesiatročného úsilia EÚ o podporu mieru, zmierenia, d</w:t>
      </w:r>
      <w:r w:rsidRPr="000D7E38">
        <w:rPr>
          <w:rFonts w:ascii="Times New Roman" w:hAnsi="Times New Roman"/>
          <w:sz w:val="24"/>
          <w:szCs w:val="24"/>
          <w:lang w:val="sk-SK"/>
        </w:rPr>
        <w:t>e</w:t>
      </w:r>
      <w:r w:rsidRPr="000D7E38">
        <w:rPr>
          <w:rFonts w:ascii="Times New Roman" w:hAnsi="Times New Roman"/>
          <w:sz w:val="24"/>
          <w:szCs w:val="24"/>
          <w:lang w:val="sk-SK"/>
        </w:rPr>
        <w:t>mokracie a ľudských práv v Európe.</w:t>
      </w:r>
    </w:p>
    <w:p w:rsidR="000D7E38" w:rsidRPr="000D7E38" w:rsidRDefault="000D7E38" w:rsidP="000D7E38">
      <w:pPr>
        <w:numPr>
          <w:ilvl w:val="0"/>
          <w:numId w:val="44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b/>
          <w:bCs/>
          <w:sz w:val="24"/>
          <w:szCs w:val="24"/>
          <w:lang w:val="sk-SK"/>
        </w:rPr>
        <w:t xml:space="preserve">2014 - Voľby do Európskeho parlamentu s európskymi volebnými lídrami - </w:t>
      </w:r>
      <w:r w:rsidRPr="000D7E38">
        <w:rPr>
          <w:rFonts w:ascii="Times New Roman" w:hAnsi="Times New Roman"/>
          <w:sz w:val="24"/>
          <w:szCs w:val="24"/>
          <w:lang w:val="sk-SK"/>
        </w:rPr>
        <w:t>po prvýkrát v histórii sa vo voľbách do Európskeho parlamentu zároveň priamo rozhodlo o tom, kto b</w:t>
      </w:r>
      <w:r w:rsidRPr="000D7E38">
        <w:rPr>
          <w:rFonts w:ascii="Times New Roman" w:hAnsi="Times New Roman"/>
          <w:sz w:val="24"/>
          <w:szCs w:val="24"/>
          <w:lang w:val="sk-SK"/>
        </w:rPr>
        <w:t>u</w:t>
      </w:r>
      <w:r w:rsidRPr="000D7E38">
        <w:rPr>
          <w:rFonts w:ascii="Times New Roman" w:hAnsi="Times New Roman"/>
          <w:sz w:val="24"/>
          <w:szCs w:val="24"/>
          <w:lang w:val="sk-SK"/>
        </w:rPr>
        <w:t>de novým predsedom Európskej komisie. Veľké politické skupiny v Európskom parlamente vopred určili svojho volebného lídra. V období pred voľbami prebehla medzi volebnými lí</w:t>
      </w:r>
      <w:r w:rsidRPr="000D7E38">
        <w:rPr>
          <w:rFonts w:ascii="Times New Roman" w:hAnsi="Times New Roman"/>
          <w:sz w:val="24"/>
          <w:szCs w:val="24"/>
          <w:lang w:val="sk-SK"/>
        </w:rPr>
        <w:t>d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rami rozsiahla diskusia o ich pohľadoch na budúcnosť Európy. Európska ľudová strana sa  stala najväčšou politickou skupinou v Európskom parlamente. Preto bol práve jej volebný líder, Luxemburčan </w:t>
      </w:r>
      <w:proofErr w:type="spellStart"/>
      <w:r w:rsidRPr="000D7E38">
        <w:rPr>
          <w:rFonts w:ascii="Times New Roman" w:hAnsi="Times New Roman"/>
          <w:i/>
          <w:iCs/>
          <w:sz w:val="24"/>
          <w:szCs w:val="24"/>
          <w:lang w:val="sk-SK"/>
        </w:rPr>
        <w:t>Jean-Claude</w:t>
      </w:r>
      <w:proofErr w:type="spellEnd"/>
      <w:r w:rsidRPr="000D7E38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0D7E38">
        <w:rPr>
          <w:rFonts w:ascii="Times New Roman" w:hAnsi="Times New Roman"/>
          <w:i/>
          <w:iCs/>
          <w:sz w:val="24"/>
          <w:szCs w:val="24"/>
          <w:lang w:val="sk-SK"/>
        </w:rPr>
        <w:t>Juncker</w:t>
      </w:r>
      <w:proofErr w:type="spellEnd"/>
      <w:r w:rsidRPr="000D7E38">
        <w:rPr>
          <w:rFonts w:ascii="Times New Roman" w:hAnsi="Times New Roman"/>
          <w:sz w:val="24"/>
          <w:szCs w:val="24"/>
          <w:lang w:val="sk-SK"/>
        </w:rPr>
        <w:t>, vymenovaný za nového predsedu Európskej k</w:t>
      </w:r>
      <w:r w:rsidRPr="000D7E38">
        <w:rPr>
          <w:rFonts w:ascii="Times New Roman" w:hAnsi="Times New Roman"/>
          <w:sz w:val="24"/>
          <w:szCs w:val="24"/>
          <w:lang w:val="sk-SK"/>
        </w:rPr>
        <w:t>o</w:t>
      </w:r>
      <w:r w:rsidRPr="000D7E38">
        <w:rPr>
          <w:rFonts w:ascii="Times New Roman" w:hAnsi="Times New Roman"/>
          <w:sz w:val="24"/>
          <w:szCs w:val="24"/>
          <w:lang w:val="sk-SK"/>
        </w:rPr>
        <w:t>misie.</w:t>
      </w:r>
    </w:p>
    <w:p w:rsidR="000D7E38" w:rsidRPr="000D7E38" w:rsidRDefault="000D7E38" w:rsidP="000D7E38">
      <w:pPr>
        <w:autoSpaceDN/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  <w:lang w:val="sk-SK"/>
        </w:rPr>
      </w:pPr>
    </w:p>
    <w:p w:rsidR="000D7E38" w:rsidRPr="000D7E38" w:rsidRDefault="000D7E38" w:rsidP="000D7E38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0D7E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Štáty EÚ:   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Nemecká spolková republika, Francúzsko, Belgicko, Holandsko, Luxembursko, Talia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n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sko (18.4.1951), Dánsko, Írsko, Veľká Británia (1.1.1973), Grécko (1.1.1981), Španielsko, Port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u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galsko(1.1.1986), Zjednotené Nemecko (3.10.1990), Rakúsko, Fínsko, Švédsko (1.1. 1995), Cy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p</w:t>
      </w:r>
      <w:r w:rsidRPr="000D7E38">
        <w:rPr>
          <w:rFonts w:ascii="Times New Roman" w:eastAsia="Times New Roman" w:hAnsi="Times New Roman"/>
          <w:sz w:val="24"/>
          <w:szCs w:val="24"/>
          <w:lang w:val="sk-SK" w:eastAsia="sk-SK"/>
        </w:rPr>
        <w:t>rus, Česká republika, Estónsko, Litva, Lotyšsko, Maďarsko, Malta, Poľsko, Slovensko, Slovinsko (1.5.2004), Bulharsko, Rumunsko (1.1.2007). Chorvátsko (1.7.2013), Veľká Británia (vystúpila z EÚ – 2020).  EÚ = 27 štátov.</w:t>
      </w:r>
    </w:p>
    <w:p w:rsidR="000D7E38" w:rsidRPr="000D7E38" w:rsidRDefault="000D7E38" w:rsidP="000D7E3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val="sk-SK"/>
        </w:rPr>
      </w:pPr>
    </w:p>
    <w:p w:rsidR="000D7E38" w:rsidRPr="000D7E38" w:rsidRDefault="000D7E38" w:rsidP="000D7E3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0D7E38">
        <w:rPr>
          <w:rFonts w:ascii="Times New Roman" w:hAnsi="Times New Roman"/>
          <w:sz w:val="24"/>
          <w:szCs w:val="24"/>
          <w:u w:val="single"/>
          <w:lang w:val="sk-SK"/>
        </w:rPr>
        <w:t>Kandidátske členské štáty a potenciálne členské štáty:</w:t>
      </w:r>
    </w:p>
    <w:p w:rsidR="000D7E38" w:rsidRPr="000D7E38" w:rsidRDefault="000D7E38" w:rsidP="000D7E3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V súčasnosti existuje päť oficiálnych kandidátskych členských štátov na pristúpenie k EÚ:</w:t>
      </w:r>
    </w:p>
    <w:p w:rsidR="000D7E38" w:rsidRPr="000D7E38" w:rsidRDefault="000D7E38" w:rsidP="000D7E38">
      <w:pPr>
        <w:numPr>
          <w:ilvl w:val="0"/>
          <w:numId w:val="46"/>
        </w:numPr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Albánsko,</w:t>
      </w:r>
    </w:p>
    <w:p w:rsidR="000D7E38" w:rsidRPr="000D7E38" w:rsidRDefault="000D7E38" w:rsidP="000D7E38">
      <w:pPr>
        <w:numPr>
          <w:ilvl w:val="0"/>
          <w:numId w:val="46"/>
        </w:numPr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Severné Macedónsko,</w:t>
      </w:r>
    </w:p>
    <w:p w:rsidR="000D7E38" w:rsidRPr="000D7E38" w:rsidRDefault="000D7E38" w:rsidP="000D7E38">
      <w:pPr>
        <w:numPr>
          <w:ilvl w:val="0"/>
          <w:numId w:val="46"/>
        </w:numPr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Čierna Hora,</w:t>
      </w:r>
    </w:p>
    <w:p w:rsidR="000D7E38" w:rsidRPr="000D7E38" w:rsidRDefault="000D7E38" w:rsidP="000D7E38">
      <w:pPr>
        <w:numPr>
          <w:ilvl w:val="0"/>
          <w:numId w:val="46"/>
        </w:numPr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Srbsko,</w:t>
      </w:r>
    </w:p>
    <w:p w:rsidR="000D7E38" w:rsidRPr="000D7E38" w:rsidRDefault="000D7E38" w:rsidP="000D7E38">
      <w:pPr>
        <w:numPr>
          <w:ilvl w:val="0"/>
          <w:numId w:val="46"/>
        </w:numPr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Turecko.</w:t>
      </w:r>
    </w:p>
    <w:p w:rsidR="000D7E38" w:rsidRPr="000D7E38" w:rsidRDefault="000D7E38" w:rsidP="000D7E3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Kandidátsky členský štát je štát, ktorý úspešne predložil žiadosť o členstvo. Následne sa medzi to</w:t>
      </w:r>
      <w:r w:rsidRPr="000D7E38">
        <w:rPr>
          <w:rFonts w:ascii="Times New Roman" w:hAnsi="Times New Roman"/>
          <w:sz w:val="24"/>
          <w:szCs w:val="24"/>
          <w:lang w:val="sk-SK"/>
        </w:rPr>
        <w:t>u</w:t>
      </w:r>
      <w:r w:rsidRPr="000D7E38">
        <w:rPr>
          <w:rFonts w:ascii="Times New Roman" w:hAnsi="Times New Roman"/>
          <w:sz w:val="24"/>
          <w:szCs w:val="24"/>
          <w:lang w:val="sk-SK"/>
        </w:rPr>
        <w:t>to krajinou a EÚ začali rokovania o pristúpení.</w:t>
      </w:r>
    </w:p>
    <w:p w:rsidR="000D7E38" w:rsidRPr="000D7E38" w:rsidRDefault="000D7E38" w:rsidP="000D7E3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Okrem kandidátskych členských štátov je tu aj niekoľko potenciálnych členských štátov. Tieto kr</w:t>
      </w:r>
      <w:r w:rsidRPr="000D7E38">
        <w:rPr>
          <w:rFonts w:ascii="Times New Roman" w:hAnsi="Times New Roman"/>
          <w:sz w:val="24"/>
          <w:szCs w:val="24"/>
          <w:lang w:val="sk-SK"/>
        </w:rPr>
        <w:t>a</w:t>
      </w:r>
      <w:r w:rsidRPr="000D7E38">
        <w:rPr>
          <w:rFonts w:ascii="Times New Roman" w:hAnsi="Times New Roman"/>
          <w:sz w:val="24"/>
          <w:szCs w:val="24"/>
          <w:lang w:val="sk-SK"/>
        </w:rPr>
        <w:t xml:space="preserve">jiny oficiálne oznámili, že chcú vstúpiť do EÚ, ale rokovania sa ešte nezačali. </w:t>
      </w:r>
    </w:p>
    <w:p w:rsidR="000D7E38" w:rsidRPr="000D7E38" w:rsidRDefault="000D7E38" w:rsidP="000D7E3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Sú to:</w:t>
      </w:r>
    </w:p>
    <w:p w:rsidR="000D7E38" w:rsidRPr="000D7E38" w:rsidRDefault="000D7E38" w:rsidP="000D7E38">
      <w:pPr>
        <w:numPr>
          <w:ilvl w:val="0"/>
          <w:numId w:val="47"/>
        </w:numPr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D7E38">
        <w:rPr>
          <w:rFonts w:ascii="Times New Roman" w:hAnsi="Times New Roman"/>
          <w:sz w:val="24"/>
          <w:szCs w:val="24"/>
          <w:lang w:val="sk-SK"/>
        </w:rPr>
        <w:t>Bosna a Hercegovina,</w:t>
      </w:r>
    </w:p>
    <w:p w:rsidR="000D7E38" w:rsidRPr="000D7E38" w:rsidRDefault="000D7E38" w:rsidP="000D7E38">
      <w:pPr>
        <w:numPr>
          <w:ilvl w:val="0"/>
          <w:numId w:val="47"/>
        </w:numPr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0D7E38">
        <w:rPr>
          <w:rFonts w:ascii="Times New Roman" w:hAnsi="Times New Roman"/>
          <w:sz w:val="24"/>
          <w:szCs w:val="24"/>
          <w:lang w:val="sk-SK"/>
        </w:rPr>
        <w:t>Kosovo</w:t>
      </w:r>
      <w:proofErr w:type="spellEnd"/>
      <w:r w:rsidRPr="000D7E38">
        <w:rPr>
          <w:rFonts w:ascii="Times New Roman" w:hAnsi="Times New Roman"/>
          <w:sz w:val="24"/>
          <w:szCs w:val="24"/>
          <w:lang w:val="sk-SK"/>
        </w:rPr>
        <w:t>.</w:t>
      </w:r>
    </w:p>
    <w:p w:rsidR="00581267" w:rsidRPr="0050596E" w:rsidRDefault="00581267" w:rsidP="000D7E38">
      <w:pPr>
        <w:autoSpaceDN/>
        <w:spacing w:after="0" w:line="240" w:lineRule="auto"/>
        <w:jc w:val="both"/>
        <w:rPr>
          <w:lang w:val="sk-SK"/>
        </w:rPr>
      </w:pPr>
    </w:p>
    <w:sectPr w:rsidR="00581267" w:rsidRPr="005059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A3" w:rsidRDefault="00DA5ABA">
      <w:pPr>
        <w:spacing w:after="0" w:line="240" w:lineRule="auto"/>
      </w:pPr>
      <w:r>
        <w:separator/>
      </w:r>
    </w:p>
  </w:endnote>
  <w:endnote w:type="continuationSeparator" w:id="0">
    <w:p w:rsidR="00394CA3" w:rsidRDefault="00D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DA5ABA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A3" w:rsidRDefault="00DA5A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4CA3" w:rsidRDefault="00DA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405C14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3B14090D" wp14:editId="0AAC0F8B">
          <wp:simplePos x="0" y="0"/>
          <wp:positionH relativeFrom="column">
            <wp:posOffset>-89535</wp:posOffset>
          </wp:positionH>
          <wp:positionV relativeFrom="paragraph">
            <wp:posOffset>-40640</wp:posOffset>
          </wp:positionV>
          <wp:extent cx="981075" cy="782955"/>
          <wp:effectExtent l="0" t="0" r="9525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A5ABA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AD3E863" wp14:editId="1E86F93B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P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  <w:r w:rsidRPr="00405C14">
      <w:rPr>
        <w:rFonts w:ascii="Times New Roman" w:hAnsi="Times New Roman"/>
        <w:b/>
        <w:bCs/>
        <w:color w:val="1F4E79"/>
        <w:sz w:val="24"/>
        <w:szCs w:val="24"/>
        <w:lang w:val="sk-SK"/>
      </w:rPr>
      <w:t>DIGI SCHOOL 2020-1-SK01-KA226-SCH-094350 Občianska náuka</w:t>
    </w:r>
  </w:p>
  <w:p w:rsidR="00F36176" w:rsidRPr="000D7E38" w:rsidRDefault="00405C14" w:rsidP="000D7E38">
    <w:pPr>
      <w:pStyle w:val="Hlavika"/>
      <w:jc w:val="center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895307" wp14:editId="18432FB4">
              <wp:simplePos x="0" y="0"/>
              <wp:positionH relativeFrom="column">
                <wp:posOffset>-272415</wp:posOffset>
              </wp:positionH>
              <wp:positionV relativeFrom="paragraph">
                <wp:posOffset>279400</wp:posOffset>
              </wp:positionV>
              <wp:extent cx="6771640" cy="0"/>
              <wp:effectExtent l="0" t="0" r="10160" b="1905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1640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22pt;width:533.2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  <w:r w:rsidR="004D1189">
      <w:rPr>
        <w:rFonts w:ascii="Times New Roman" w:hAnsi="Times New Roman"/>
        <w:b/>
        <w:bCs/>
        <w:color w:val="215868" w:themeColor="accent5" w:themeShade="80"/>
        <w:sz w:val="24"/>
        <w:szCs w:val="24"/>
      </w:rPr>
      <w:t xml:space="preserve"> </w:t>
    </w:r>
    <w:r w:rsidR="000D7E38">
      <w:rPr>
        <w:rFonts w:ascii="Times New Roman" w:hAnsi="Times New Roman"/>
        <w:b/>
        <w:bCs/>
        <w:color w:val="1F4E79"/>
        <w:sz w:val="24"/>
        <w:szCs w:val="24"/>
        <w:lang w:val="sk-SK"/>
      </w:rPr>
      <w:t xml:space="preserve">Formovanie Európskej Únie v historických súvislostiach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B5"/>
    <w:multiLevelType w:val="hybridMultilevel"/>
    <w:tmpl w:val="C66CB5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EBC"/>
    <w:multiLevelType w:val="hybridMultilevel"/>
    <w:tmpl w:val="E878096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35644"/>
    <w:multiLevelType w:val="hybridMultilevel"/>
    <w:tmpl w:val="C9CE8D7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A0726"/>
    <w:multiLevelType w:val="hybridMultilevel"/>
    <w:tmpl w:val="E51E4A1A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2431F0"/>
    <w:multiLevelType w:val="hybridMultilevel"/>
    <w:tmpl w:val="1B88B666"/>
    <w:lvl w:ilvl="0" w:tplc="041B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D1516B2"/>
    <w:multiLevelType w:val="hybridMultilevel"/>
    <w:tmpl w:val="E22E7F1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4561"/>
    <w:multiLevelType w:val="hybridMultilevel"/>
    <w:tmpl w:val="5568F03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0C24D5"/>
    <w:multiLevelType w:val="hybridMultilevel"/>
    <w:tmpl w:val="6156B5A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23403A"/>
    <w:multiLevelType w:val="hybridMultilevel"/>
    <w:tmpl w:val="22A69F7A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B3486B58">
      <w:start w:val="5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8A3D03"/>
    <w:multiLevelType w:val="hybridMultilevel"/>
    <w:tmpl w:val="D2860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02C87"/>
    <w:multiLevelType w:val="hybridMultilevel"/>
    <w:tmpl w:val="DFBE178A"/>
    <w:lvl w:ilvl="0" w:tplc="55505370">
      <w:start w:val="19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A1D04"/>
    <w:multiLevelType w:val="hybridMultilevel"/>
    <w:tmpl w:val="9460C58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4F7A4C"/>
    <w:multiLevelType w:val="hybridMultilevel"/>
    <w:tmpl w:val="0168338C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6C5D5B"/>
    <w:multiLevelType w:val="hybridMultilevel"/>
    <w:tmpl w:val="2502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B0AB3"/>
    <w:multiLevelType w:val="hybridMultilevel"/>
    <w:tmpl w:val="5D8C32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A2D26"/>
    <w:multiLevelType w:val="hybridMultilevel"/>
    <w:tmpl w:val="9080E4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94A23"/>
    <w:multiLevelType w:val="hybridMultilevel"/>
    <w:tmpl w:val="BD447752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C4C1E3C"/>
    <w:multiLevelType w:val="hybridMultilevel"/>
    <w:tmpl w:val="4BB6FBE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B009A2"/>
    <w:multiLevelType w:val="hybridMultilevel"/>
    <w:tmpl w:val="9AA07EFA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CF43D8D"/>
    <w:multiLevelType w:val="hybridMultilevel"/>
    <w:tmpl w:val="8D5097D2"/>
    <w:lvl w:ilvl="0" w:tplc="041B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2F1C0E84"/>
    <w:multiLevelType w:val="hybridMultilevel"/>
    <w:tmpl w:val="27F2B3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55505370">
      <w:start w:val="195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26EDB"/>
    <w:multiLevelType w:val="hybridMultilevel"/>
    <w:tmpl w:val="5130153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AE7A3E"/>
    <w:multiLevelType w:val="hybridMultilevel"/>
    <w:tmpl w:val="DC7654F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03317D"/>
    <w:multiLevelType w:val="multilevel"/>
    <w:tmpl w:val="F768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2262A7"/>
    <w:multiLevelType w:val="hybridMultilevel"/>
    <w:tmpl w:val="C4F0B438"/>
    <w:lvl w:ilvl="0" w:tplc="54A6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AD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20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4D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C3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86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49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0E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9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97F06"/>
    <w:multiLevelType w:val="hybridMultilevel"/>
    <w:tmpl w:val="8B00FCF4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3D2E440C"/>
    <w:multiLevelType w:val="hybridMultilevel"/>
    <w:tmpl w:val="82964E04"/>
    <w:lvl w:ilvl="0" w:tplc="041B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41BA3C51"/>
    <w:multiLevelType w:val="hybridMultilevel"/>
    <w:tmpl w:val="4D286E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77E68"/>
    <w:multiLevelType w:val="multilevel"/>
    <w:tmpl w:val="54B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CD261E"/>
    <w:multiLevelType w:val="hybridMultilevel"/>
    <w:tmpl w:val="F9E21B9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C06191"/>
    <w:multiLevelType w:val="hybridMultilevel"/>
    <w:tmpl w:val="ECD8DE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E7880"/>
    <w:multiLevelType w:val="multilevel"/>
    <w:tmpl w:val="2540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D2CF8"/>
    <w:multiLevelType w:val="hybridMultilevel"/>
    <w:tmpl w:val="2E281BCA"/>
    <w:lvl w:ilvl="0" w:tplc="686C51E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192553"/>
    <w:multiLevelType w:val="hybridMultilevel"/>
    <w:tmpl w:val="149E6282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6423D1B"/>
    <w:multiLevelType w:val="hybridMultilevel"/>
    <w:tmpl w:val="FFA87B7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D5CD5"/>
    <w:multiLevelType w:val="hybridMultilevel"/>
    <w:tmpl w:val="3DCA017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2330E1"/>
    <w:multiLevelType w:val="hybridMultilevel"/>
    <w:tmpl w:val="DEE0D1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9046F"/>
    <w:multiLevelType w:val="hybridMultilevel"/>
    <w:tmpl w:val="8DAEEA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95DCC"/>
    <w:multiLevelType w:val="hybridMultilevel"/>
    <w:tmpl w:val="27BEF56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DC05C4"/>
    <w:multiLevelType w:val="hybridMultilevel"/>
    <w:tmpl w:val="A9301242"/>
    <w:lvl w:ilvl="0" w:tplc="DC5EC36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63626"/>
    <w:multiLevelType w:val="hybridMultilevel"/>
    <w:tmpl w:val="272C1122"/>
    <w:lvl w:ilvl="0" w:tplc="55505370">
      <w:start w:val="195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8E141A"/>
    <w:multiLevelType w:val="hybridMultilevel"/>
    <w:tmpl w:val="D0281F00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904536"/>
    <w:multiLevelType w:val="hybridMultilevel"/>
    <w:tmpl w:val="D770A082"/>
    <w:lvl w:ilvl="0" w:tplc="55505370">
      <w:start w:val="19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93977"/>
    <w:multiLevelType w:val="hybridMultilevel"/>
    <w:tmpl w:val="A7F63D78"/>
    <w:lvl w:ilvl="0" w:tplc="041B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38A6"/>
    <w:multiLevelType w:val="hybridMultilevel"/>
    <w:tmpl w:val="CA9A245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4F2DD4"/>
    <w:multiLevelType w:val="hybridMultilevel"/>
    <w:tmpl w:val="C706C95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D50529"/>
    <w:multiLevelType w:val="hybridMultilevel"/>
    <w:tmpl w:val="F3407024"/>
    <w:lvl w:ilvl="0" w:tplc="92A2E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7"/>
  </w:num>
  <w:num w:numId="4">
    <w:abstractNumId w:val="15"/>
  </w:num>
  <w:num w:numId="5">
    <w:abstractNumId w:val="9"/>
  </w:num>
  <w:num w:numId="6">
    <w:abstractNumId w:val="36"/>
  </w:num>
  <w:num w:numId="7">
    <w:abstractNumId w:val="0"/>
  </w:num>
  <w:num w:numId="8">
    <w:abstractNumId w:val="24"/>
  </w:num>
  <w:num w:numId="9">
    <w:abstractNumId w:val="31"/>
  </w:num>
  <w:num w:numId="10">
    <w:abstractNumId w:val="13"/>
  </w:num>
  <w:num w:numId="11">
    <w:abstractNumId w:val="23"/>
  </w:num>
  <w:num w:numId="12">
    <w:abstractNumId w:val="39"/>
  </w:num>
  <w:num w:numId="13">
    <w:abstractNumId w:val="19"/>
  </w:num>
  <w:num w:numId="14">
    <w:abstractNumId w:val="38"/>
  </w:num>
  <w:num w:numId="15">
    <w:abstractNumId w:val="2"/>
  </w:num>
  <w:num w:numId="16">
    <w:abstractNumId w:val="6"/>
  </w:num>
  <w:num w:numId="17">
    <w:abstractNumId w:val="35"/>
  </w:num>
  <w:num w:numId="18">
    <w:abstractNumId w:val="4"/>
  </w:num>
  <w:num w:numId="19">
    <w:abstractNumId w:val="26"/>
  </w:num>
  <w:num w:numId="20">
    <w:abstractNumId w:val="16"/>
  </w:num>
  <w:num w:numId="21">
    <w:abstractNumId w:val="18"/>
  </w:num>
  <w:num w:numId="22">
    <w:abstractNumId w:val="33"/>
  </w:num>
  <w:num w:numId="23">
    <w:abstractNumId w:val="32"/>
  </w:num>
  <w:num w:numId="24">
    <w:abstractNumId w:val="25"/>
  </w:num>
  <w:num w:numId="25">
    <w:abstractNumId w:val="21"/>
  </w:num>
  <w:num w:numId="26">
    <w:abstractNumId w:val="46"/>
  </w:num>
  <w:num w:numId="27">
    <w:abstractNumId w:val="44"/>
  </w:num>
  <w:num w:numId="28">
    <w:abstractNumId w:val="29"/>
  </w:num>
  <w:num w:numId="29">
    <w:abstractNumId w:val="34"/>
  </w:num>
  <w:num w:numId="30">
    <w:abstractNumId w:val="8"/>
  </w:num>
  <w:num w:numId="31">
    <w:abstractNumId w:val="12"/>
  </w:num>
  <w:num w:numId="32">
    <w:abstractNumId w:val="22"/>
  </w:num>
  <w:num w:numId="33">
    <w:abstractNumId w:val="3"/>
  </w:num>
  <w:num w:numId="34">
    <w:abstractNumId w:val="7"/>
  </w:num>
  <w:num w:numId="35">
    <w:abstractNumId w:val="5"/>
  </w:num>
  <w:num w:numId="36">
    <w:abstractNumId w:val="43"/>
  </w:num>
  <w:num w:numId="37">
    <w:abstractNumId w:val="45"/>
  </w:num>
  <w:num w:numId="38">
    <w:abstractNumId w:val="28"/>
  </w:num>
  <w:num w:numId="39">
    <w:abstractNumId w:val="11"/>
  </w:num>
  <w:num w:numId="40">
    <w:abstractNumId w:val="30"/>
  </w:num>
  <w:num w:numId="41">
    <w:abstractNumId w:val="17"/>
  </w:num>
  <w:num w:numId="42">
    <w:abstractNumId w:val="1"/>
  </w:num>
  <w:num w:numId="43">
    <w:abstractNumId w:val="14"/>
  </w:num>
  <w:num w:numId="44">
    <w:abstractNumId w:val="20"/>
  </w:num>
  <w:num w:numId="45">
    <w:abstractNumId w:val="40"/>
  </w:num>
  <w:num w:numId="46">
    <w:abstractNumId w:val="42"/>
  </w:num>
  <w:num w:numId="4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267"/>
    <w:rsid w:val="00037C10"/>
    <w:rsid w:val="000D7E38"/>
    <w:rsid w:val="00394CA3"/>
    <w:rsid w:val="00405C14"/>
    <w:rsid w:val="004D1189"/>
    <w:rsid w:val="0050596E"/>
    <w:rsid w:val="00581267"/>
    <w:rsid w:val="006C5E05"/>
    <w:rsid w:val="00C01D29"/>
    <w:rsid w:val="00DA5ABA"/>
    <w:rsid w:val="00EB3456"/>
    <w:rsid w:val="00E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Profesor</cp:lastModifiedBy>
  <cp:revision>2</cp:revision>
  <cp:lastPrinted>2021-09-24T11:28:00Z</cp:lastPrinted>
  <dcterms:created xsi:type="dcterms:W3CDTF">2021-09-24T11:31:00Z</dcterms:created>
  <dcterms:modified xsi:type="dcterms:W3CDTF">2021-09-24T11:31:00Z</dcterms:modified>
</cp:coreProperties>
</file>