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82"/>
        <w:gridCol w:w="126"/>
      </w:tblGrid>
      <w:tr w:rsidR="00134A1D" w:rsidRPr="00134A1D" w:rsidTr="0050136C">
        <w:trPr>
          <w:tblCellSpacing w:w="15" w:type="dxa"/>
        </w:trPr>
        <w:tc>
          <w:tcPr>
            <w:tcW w:w="395" w:type="dxa"/>
            <w:shd w:val="clear" w:color="auto" w:fill="auto"/>
            <w:tcMar>
              <w:top w:w="15" w:type="dxa"/>
              <w:left w:w="15" w:type="dxa"/>
              <w:bottom w:w="84" w:type="dxa"/>
              <w:right w:w="60" w:type="dxa"/>
            </w:tcMar>
            <w:vAlign w:val="bottom"/>
            <w:hideMark/>
          </w:tcPr>
          <w:p w:rsidR="00134A1D" w:rsidRPr="00134A1D" w:rsidRDefault="002347CE" w:rsidP="002347CE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bCs/>
                <w:color w:val="A0A0A0"/>
                <w:sz w:val="72"/>
                <w:szCs w:val="7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A0A0A0"/>
                <w:sz w:val="72"/>
                <w:szCs w:val="72"/>
                <w:lang w:eastAsia="sk-SK"/>
              </w:rPr>
              <w:t>1</w:t>
            </w:r>
          </w:p>
        </w:tc>
        <w:tc>
          <w:tcPr>
            <w:tcW w:w="8252" w:type="dxa"/>
            <w:shd w:val="clear" w:color="auto" w:fill="auto"/>
            <w:vAlign w:val="center"/>
            <w:hideMark/>
          </w:tcPr>
          <w:p w:rsidR="00134A1D" w:rsidRPr="00134A1D" w:rsidRDefault="00134A1D" w:rsidP="00134A1D">
            <w:pPr>
              <w:spacing w:before="144" w:after="144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</w:pPr>
            <w:proofErr w:type="spellStart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Vinidi</w:t>
            </w:r>
            <w:proofErr w:type="spellEnd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(Slovania) boli už oddávna </w:t>
            </w:r>
            <w:proofErr w:type="spellStart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befulkovia</w:t>
            </w:r>
            <w:proofErr w:type="spellEnd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Hunov (Avarov). Keď Huni (Avari) s vojskom viedli útok proti niektorému národu, stavali vtedy svoje zhromaždené vojsko na obranu táborov, </w:t>
            </w:r>
            <w:proofErr w:type="spellStart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Vinidi</w:t>
            </w:r>
            <w:proofErr w:type="spellEnd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však bojovali. Ak sa víťazstvo klonilo na ich stranu, Huni (Avari) vtedy útočili, aby sa zmocnili koristi, ak však </w:t>
            </w:r>
            <w:proofErr w:type="spellStart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Vinidi</w:t>
            </w:r>
            <w:proofErr w:type="spellEnd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boli porážaní, podporovaní pomocným vojskom Hunov znova nabrali síl. Huni (Avari) ich teda nazývali </w:t>
            </w:r>
            <w:proofErr w:type="spellStart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befulkovia</w:t>
            </w:r>
            <w:proofErr w:type="spellEnd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, lebo pri bojovom stretnutí, tvoriac dvojité bojové šíky, kráčali pred Hunmi (Avarmi).</w:t>
            </w:r>
          </w:p>
        </w:tc>
        <w:tc>
          <w:tcPr>
            <w:tcW w:w="0" w:type="auto"/>
            <w:shd w:val="clear" w:color="auto" w:fill="auto"/>
            <w:tcMar>
              <w:top w:w="36" w:type="dxa"/>
              <w:left w:w="60" w:type="dxa"/>
              <w:bottom w:w="15" w:type="dxa"/>
              <w:right w:w="15" w:type="dxa"/>
            </w:tcMar>
            <w:hideMark/>
          </w:tcPr>
          <w:p w:rsidR="00134A1D" w:rsidRPr="00134A1D" w:rsidRDefault="00134A1D" w:rsidP="00134A1D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bCs/>
                <w:color w:val="A0A0A0"/>
                <w:sz w:val="72"/>
                <w:szCs w:val="72"/>
                <w:lang w:eastAsia="sk-SK"/>
              </w:rPr>
            </w:pPr>
          </w:p>
        </w:tc>
      </w:tr>
    </w:tbl>
    <w:p w:rsidR="00134A1D" w:rsidRPr="00E06FE2" w:rsidRDefault="00722811">
      <w:pPr>
        <w:rPr>
          <w:rFonts w:ascii="Arial" w:hAnsi="Arial" w:cs="Arial"/>
          <w:color w:val="202122"/>
          <w:sz w:val="17"/>
          <w:szCs w:val="17"/>
          <w:shd w:val="clear" w:color="auto" w:fill="FFFFFF"/>
        </w:rPr>
      </w:pPr>
      <w:hyperlink r:id="rId6" w:tooltip="Fredegarova kronika" w:history="1">
        <w:proofErr w:type="spellStart"/>
        <w:r w:rsidR="0050136C" w:rsidRPr="002347CE">
          <w:rPr>
            <w:rStyle w:val="Hypertextovprepojenie"/>
            <w:rFonts w:ascii="Arial" w:hAnsi="Arial" w:cs="Arial"/>
            <w:color w:val="auto"/>
            <w:sz w:val="17"/>
            <w:szCs w:val="17"/>
            <w:u w:val="none"/>
            <w:shd w:val="clear" w:color="auto" w:fill="FFFFFF"/>
          </w:rPr>
          <w:t>Fredegarova</w:t>
        </w:r>
        <w:proofErr w:type="spellEnd"/>
        <w:r w:rsidR="0050136C" w:rsidRPr="002347CE">
          <w:rPr>
            <w:rStyle w:val="Hypertextovprepojenie"/>
            <w:rFonts w:ascii="Arial" w:hAnsi="Arial" w:cs="Arial"/>
            <w:color w:val="auto"/>
            <w:sz w:val="17"/>
            <w:szCs w:val="17"/>
            <w:u w:val="none"/>
            <w:shd w:val="clear" w:color="auto" w:fill="FFFFFF"/>
          </w:rPr>
          <w:t xml:space="preserve"> kronika</w:t>
        </w:r>
      </w:hyperlink>
      <w:r w:rsidR="002347CE">
        <w:t>,</w:t>
      </w:r>
      <w:r w:rsidR="0050136C">
        <w:rPr>
          <w:rFonts w:ascii="Arial" w:hAnsi="Arial" w:cs="Arial"/>
          <w:color w:val="202122"/>
          <w:sz w:val="17"/>
          <w:szCs w:val="17"/>
          <w:shd w:val="clear" w:color="auto" w:fill="FFFFFF"/>
        </w:rPr>
        <w:t> Kniha IV, kap. 6</w:t>
      </w:r>
      <w:r w:rsidR="00E06FE2">
        <w:rPr>
          <w:rFonts w:ascii="Arial" w:hAnsi="Arial" w:cs="Arial"/>
          <w:color w:val="202122"/>
          <w:sz w:val="17"/>
          <w:szCs w:val="17"/>
          <w:shd w:val="clear" w:color="auto" w:fill="FFFFFF"/>
        </w:rPr>
        <w:t>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556"/>
        <w:gridCol w:w="126"/>
      </w:tblGrid>
      <w:tr w:rsidR="00134A1D" w:rsidRPr="00134A1D" w:rsidTr="00134A1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84" w:type="dxa"/>
              <w:right w:w="60" w:type="dxa"/>
            </w:tcMar>
            <w:vAlign w:val="bottom"/>
            <w:hideMark/>
          </w:tcPr>
          <w:p w:rsidR="00134A1D" w:rsidRPr="00134A1D" w:rsidRDefault="002347CE" w:rsidP="002347CE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bCs/>
                <w:color w:val="A0A0A0"/>
                <w:sz w:val="72"/>
                <w:szCs w:val="7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A0A0A0"/>
                <w:sz w:val="72"/>
                <w:szCs w:val="72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36C" w:rsidRPr="00134A1D" w:rsidRDefault="00134A1D" w:rsidP="00134A1D">
            <w:pPr>
              <w:spacing w:before="144" w:after="144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</w:pPr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Huni (Avari) každoročne prichádzali k Slovanom prezimovať, na lôžka si brávali manželky Slovanov a ich dcéry. Popri (znášaní) iných násilenstiev Slovania odvádzali Hunom (Avarom) poplatky. Synovia Hunov (Avarov), ktorých splodili z manželiek a dcér </w:t>
            </w:r>
            <w:proofErr w:type="spellStart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Vinidov</w:t>
            </w:r>
            <w:proofErr w:type="spellEnd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, neznášali ďalej zlo, krutosti a násilia, vzpierali sa nadvláde Hunov (Avarom) a, ako som už spomínal, začali sa búriť. Keď </w:t>
            </w:r>
            <w:proofErr w:type="spellStart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Vinidi</w:t>
            </w:r>
            <w:proofErr w:type="spellEnd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s vojskom zaútočili proti Hunom (Avarom), kupec menom Samo postupoval s nimi vo vojsku....</w:t>
            </w:r>
          </w:p>
        </w:tc>
        <w:tc>
          <w:tcPr>
            <w:tcW w:w="0" w:type="auto"/>
            <w:shd w:val="clear" w:color="auto" w:fill="auto"/>
            <w:tcMar>
              <w:top w:w="36" w:type="dxa"/>
              <w:left w:w="60" w:type="dxa"/>
              <w:bottom w:w="15" w:type="dxa"/>
              <w:right w:w="15" w:type="dxa"/>
            </w:tcMar>
            <w:hideMark/>
          </w:tcPr>
          <w:p w:rsidR="00134A1D" w:rsidRPr="00134A1D" w:rsidRDefault="00134A1D" w:rsidP="00134A1D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bCs/>
                <w:color w:val="A0A0A0"/>
                <w:sz w:val="72"/>
                <w:szCs w:val="72"/>
                <w:lang w:eastAsia="sk-SK"/>
              </w:rPr>
            </w:pPr>
          </w:p>
        </w:tc>
      </w:tr>
      <w:tr w:rsidR="00134A1D" w:rsidRPr="00134A1D" w:rsidTr="00134A1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34A1D" w:rsidRPr="00134A1D" w:rsidRDefault="00134A1D" w:rsidP="00134A1D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202122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A1D" w:rsidRPr="00134A1D" w:rsidRDefault="00134A1D" w:rsidP="0013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A1D" w:rsidRPr="00134A1D" w:rsidRDefault="00134A1D" w:rsidP="00134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134A1D" w:rsidRPr="00E06FE2" w:rsidRDefault="00722811">
      <w:pPr>
        <w:rPr>
          <w:rFonts w:ascii="Arial" w:hAnsi="Arial" w:cs="Arial"/>
          <w:color w:val="202122"/>
          <w:sz w:val="17"/>
          <w:szCs w:val="17"/>
          <w:shd w:val="clear" w:color="auto" w:fill="FFFFFF"/>
        </w:rPr>
      </w:pPr>
      <w:hyperlink r:id="rId7" w:tooltip="Fredegarova kronika" w:history="1">
        <w:proofErr w:type="spellStart"/>
        <w:r w:rsidR="0050136C" w:rsidRPr="002347CE">
          <w:rPr>
            <w:rStyle w:val="Hypertextovprepojenie"/>
            <w:rFonts w:ascii="Arial" w:hAnsi="Arial" w:cs="Arial"/>
            <w:color w:val="auto"/>
            <w:sz w:val="17"/>
            <w:szCs w:val="17"/>
            <w:u w:val="none"/>
            <w:shd w:val="clear" w:color="auto" w:fill="FFFFFF"/>
          </w:rPr>
          <w:t>Fredegarova</w:t>
        </w:r>
        <w:proofErr w:type="spellEnd"/>
        <w:r w:rsidR="0050136C" w:rsidRPr="002347CE">
          <w:rPr>
            <w:rStyle w:val="Hypertextovprepojenie"/>
            <w:rFonts w:ascii="Arial" w:hAnsi="Arial" w:cs="Arial"/>
            <w:color w:val="auto"/>
            <w:sz w:val="17"/>
            <w:szCs w:val="17"/>
            <w:u w:val="none"/>
            <w:shd w:val="clear" w:color="auto" w:fill="FFFFFF"/>
          </w:rPr>
          <w:t xml:space="preserve"> kronika</w:t>
        </w:r>
      </w:hyperlink>
      <w:r w:rsidR="002347CE">
        <w:t>,</w:t>
      </w:r>
      <w:r w:rsidR="0050136C">
        <w:rPr>
          <w:rFonts w:ascii="Arial" w:hAnsi="Arial" w:cs="Arial"/>
          <w:color w:val="202122"/>
          <w:sz w:val="17"/>
          <w:szCs w:val="17"/>
          <w:shd w:val="clear" w:color="auto" w:fill="FFFFFF"/>
        </w:rPr>
        <w:t> Kniha IV, kap. 68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42"/>
        <w:gridCol w:w="440"/>
      </w:tblGrid>
      <w:tr w:rsidR="00134A1D" w:rsidRPr="00134A1D" w:rsidTr="002347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84" w:type="dxa"/>
              <w:right w:w="60" w:type="dxa"/>
            </w:tcMar>
            <w:vAlign w:val="bottom"/>
            <w:hideMark/>
          </w:tcPr>
          <w:p w:rsidR="00134A1D" w:rsidRPr="00134A1D" w:rsidRDefault="002347CE" w:rsidP="00134A1D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bCs/>
                <w:color w:val="A0A0A0"/>
                <w:sz w:val="72"/>
                <w:szCs w:val="7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A0A0A0"/>
                <w:sz w:val="72"/>
                <w:szCs w:val="72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36C" w:rsidRPr="00134A1D" w:rsidRDefault="00134A1D" w:rsidP="00134A1D">
            <w:pPr>
              <w:spacing w:before="144" w:after="144" w:line="36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</w:pPr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V tom roku (631) Slovania nazývaná </w:t>
            </w:r>
            <w:proofErr w:type="spellStart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Vinidi</w:t>
            </w:r>
            <w:proofErr w:type="spellEnd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v Samovej ríši usmrtili veľký počet franských kupcov a olúpili ich o tovar. To bol začiatok roztržky medzi </w:t>
            </w:r>
            <w:proofErr w:type="spellStart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Dagobertom</w:t>
            </w:r>
            <w:proofErr w:type="spellEnd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a Samom, vládcom Slovanov....I poslal </w:t>
            </w:r>
            <w:proofErr w:type="spellStart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Dagobert</w:t>
            </w:r>
            <w:proofErr w:type="spellEnd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vyslanca </w:t>
            </w:r>
            <w:proofErr w:type="spellStart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Sycharia</w:t>
            </w:r>
            <w:proofErr w:type="spellEnd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k Samovi...Avšak ako býva (zvykom) pohanstva a spupnosti u nešľachetných, Samo nedal nijakú náhradu za to, čo spáchali jeho (ľudia),...Keď to </w:t>
            </w:r>
            <w:proofErr w:type="spellStart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Dagobertovi</w:t>
            </w:r>
            <w:proofErr w:type="spellEnd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oznámili, ten spupne rozkázal, aby vojsko z cel</w:t>
            </w:r>
            <w:r w:rsidR="00A96BF3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e</w:t>
            </w:r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j </w:t>
            </w:r>
            <w:proofErr w:type="spellStart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Austrázijskej</w:t>
            </w:r>
            <w:proofErr w:type="spellEnd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ríše sa postavilo proti Samovi a </w:t>
            </w:r>
            <w:proofErr w:type="spellStart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Vinidom</w:t>
            </w:r>
            <w:proofErr w:type="spellEnd"/>
            <w:r w:rsidRPr="00134A1D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...</w:t>
            </w:r>
            <w:r w:rsidR="00A96BF3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</w:t>
            </w:r>
            <w:r w:rsidR="00E06FE2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Keď potom </w:t>
            </w:r>
            <w:proofErr w:type="spellStart"/>
            <w:r w:rsidR="00E06FE2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Austrázijci</w:t>
            </w:r>
            <w:proofErr w:type="spellEnd"/>
            <w:r w:rsidR="00E06FE2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obkľúčili hrad </w:t>
            </w:r>
            <w:proofErr w:type="spellStart"/>
            <w:r w:rsidR="00E06FE2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Wogastisburg</w:t>
            </w:r>
            <w:proofErr w:type="spellEnd"/>
            <w:r w:rsidR="00E06FE2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, kde sa opevnili...oddiely </w:t>
            </w:r>
            <w:proofErr w:type="spellStart"/>
            <w:r w:rsidR="00E06FE2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Vinidov</w:t>
            </w:r>
            <w:proofErr w:type="spellEnd"/>
            <w:r w:rsidR="00E06FE2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, v trojdňovom boji boli tu mnohí z </w:t>
            </w:r>
            <w:proofErr w:type="spellStart"/>
            <w:r w:rsidR="00E06FE2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Dagobertovho</w:t>
            </w:r>
            <w:proofErr w:type="spellEnd"/>
            <w:r w:rsidR="00E06FE2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vojska pobití mečom a ( ostatní), zanechajúc všetky stany a batožinu,</w:t>
            </w:r>
            <w:r w:rsidR="00A96BF3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</w:t>
            </w:r>
            <w:r w:rsidR="00E06FE2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ktorú mali, zbabelo sa odtiaľ vrátili do vlastných sídel. Potom </w:t>
            </w:r>
            <w:proofErr w:type="spellStart"/>
            <w:r w:rsidR="00E06FE2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Vinidi</w:t>
            </w:r>
            <w:proofErr w:type="spellEnd"/>
            <w:r w:rsidR="00E06FE2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viac ráz vtrhli... do ostatnýc</w:t>
            </w:r>
            <w:r w:rsidR="00A96BF3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h</w:t>
            </w:r>
            <w:r w:rsidR="00E06FE2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krajov Franskej ríše a plienili. ... aj </w:t>
            </w:r>
            <w:proofErr w:type="spellStart"/>
            <w:r w:rsidR="00E06FE2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Dervan</w:t>
            </w:r>
            <w:proofErr w:type="spellEnd"/>
            <w:r w:rsidR="00E06FE2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, knieža z rodu ( lužických) Srbov, ...</w:t>
            </w:r>
            <w:r w:rsidR="00A96BF3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 xml:space="preserve"> už dáv</w:t>
            </w:r>
            <w:r w:rsidR="00E06FE2">
              <w:rPr>
                <w:rFonts w:ascii="Times New Roman" w:eastAsia="Times New Roman" w:hAnsi="Times New Roman" w:cs="Times New Roman"/>
                <w:i/>
                <w:iCs/>
                <w:color w:val="202122"/>
                <w:lang w:eastAsia="sk-SK"/>
              </w:rPr>
              <w:t>no patril k Franskej ríši, pridal sa so svojimi k vládcovi Samovi.</w:t>
            </w:r>
          </w:p>
        </w:tc>
        <w:tc>
          <w:tcPr>
            <w:tcW w:w="395" w:type="dxa"/>
            <w:shd w:val="clear" w:color="auto" w:fill="auto"/>
            <w:tcMar>
              <w:top w:w="36" w:type="dxa"/>
              <w:left w:w="60" w:type="dxa"/>
              <w:bottom w:w="15" w:type="dxa"/>
              <w:right w:w="15" w:type="dxa"/>
            </w:tcMar>
            <w:hideMark/>
          </w:tcPr>
          <w:p w:rsidR="00134A1D" w:rsidRPr="00134A1D" w:rsidRDefault="00134A1D" w:rsidP="00134A1D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bCs/>
                <w:color w:val="A0A0A0"/>
                <w:sz w:val="72"/>
                <w:szCs w:val="72"/>
                <w:lang w:eastAsia="sk-SK"/>
              </w:rPr>
            </w:pPr>
          </w:p>
        </w:tc>
      </w:tr>
    </w:tbl>
    <w:p w:rsidR="00134A1D" w:rsidRDefault="00722811">
      <w:pPr>
        <w:rPr>
          <w:rFonts w:ascii="Arial" w:hAnsi="Arial" w:cs="Arial"/>
          <w:color w:val="202122"/>
          <w:sz w:val="17"/>
          <w:szCs w:val="17"/>
          <w:shd w:val="clear" w:color="auto" w:fill="FFFFFF"/>
        </w:rPr>
      </w:pPr>
      <w:hyperlink r:id="rId8" w:tooltip="Fredegarova kronika" w:history="1">
        <w:proofErr w:type="spellStart"/>
        <w:r w:rsidR="00134A1D" w:rsidRPr="002347CE">
          <w:rPr>
            <w:rStyle w:val="Hypertextovprepojenie"/>
            <w:rFonts w:ascii="Arial" w:hAnsi="Arial" w:cs="Arial"/>
            <w:color w:val="auto"/>
            <w:sz w:val="17"/>
            <w:szCs w:val="17"/>
            <w:u w:val="none"/>
            <w:shd w:val="clear" w:color="auto" w:fill="FFFFFF"/>
          </w:rPr>
          <w:t>Fredegarova</w:t>
        </w:r>
        <w:proofErr w:type="spellEnd"/>
        <w:r w:rsidR="00134A1D" w:rsidRPr="002347CE">
          <w:rPr>
            <w:rStyle w:val="Hypertextovprepojenie"/>
            <w:rFonts w:ascii="Arial" w:hAnsi="Arial" w:cs="Arial"/>
            <w:color w:val="auto"/>
            <w:sz w:val="17"/>
            <w:szCs w:val="17"/>
            <w:u w:val="none"/>
            <w:shd w:val="clear" w:color="auto" w:fill="FFFFFF"/>
          </w:rPr>
          <w:t xml:space="preserve"> kronika</w:t>
        </w:r>
      </w:hyperlink>
      <w:r w:rsidR="002347CE">
        <w:t>,</w:t>
      </w:r>
      <w:r w:rsidR="00134A1D">
        <w:rPr>
          <w:rFonts w:ascii="Arial" w:hAnsi="Arial" w:cs="Arial"/>
          <w:color w:val="202122"/>
          <w:sz w:val="17"/>
          <w:szCs w:val="17"/>
          <w:shd w:val="clear" w:color="auto" w:fill="FFFFFF"/>
        </w:rPr>
        <w:t> Kniha IV, kap. 68</w:t>
      </w:r>
    </w:p>
    <w:p w:rsidR="002347CE" w:rsidRDefault="002347CE">
      <w:pPr>
        <w:rPr>
          <w:rFonts w:ascii="Arial" w:hAnsi="Arial" w:cs="Arial"/>
          <w:color w:val="202122"/>
          <w:sz w:val="17"/>
          <w:szCs w:val="17"/>
          <w:shd w:val="clear" w:color="auto" w:fill="FFFFFF"/>
        </w:rPr>
      </w:pPr>
    </w:p>
    <w:p w:rsidR="00134A1D" w:rsidRDefault="00134A1D">
      <w:pPr>
        <w:rPr>
          <w:rFonts w:ascii="Arial" w:hAnsi="Arial" w:cs="Arial"/>
          <w:color w:val="202122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02122"/>
          <w:sz w:val="15"/>
          <w:szCs w:val="15"/>
          <w:shd w:val="clear" w:color="auto" w:fill="FFFFFF"/>
        </w:rPr>
        <w:t>LACLAVÍKOVÁ, Miriam; ŠVECOVÁ, Adriana. </w:t>
      </w:r>
      <w:r>
        <w:rPr>
          <w:rFonts w:ascii="Arial" w:hAnsi="Arial" w:cs="Arial"/>
          <w:i/>
          <w:iCs/>
          <w:color w:val="202122"/>
          <w:sz w:val="15"/>
          <w:szCs w:val="15"/>
          <w:shd w:val="clear" w:color="auto" w:fill="FFFFFF"/>
        </w:rPr>
        <w:t>Praktikum k dejinám štátu a práva na Slovensku I</w:t>
      </w:r>
      <w:r>
        <w:rPr>
          <w:rFonts w:ascii="Arial" w:hAnsi="Arial" w:cs="Arial"/>
          <w:color w:val="202122"/>
          <w:sz w:val="15"/>
          <w:szCs w:val="15"/>
          <w:shd w:val="clear" w:color="auto" w:fill="FFFFFF"/>
        </w:rPr>
        <w:t xml:space="preserve">. Trnava : </w:t>
      </w:r>
      <w:proofErr w:type="spellStart"/>
      <w:r>
        <w:rPr>
          <w:rFonts w:ascii="Arial" w:hAnsi="Arial" w:cs="Arial"/>
          <w:color w:val="202122"/>
          <w:sz w:val="15"/>
          <w:szCs w:val="15"/>
          <w:shd w:val="clear" w:color="auto" w:fill="FFFFFF"/>
        </w:rPr>
        <w:t>Typi</w:t>
      </w:r>
      <w:proofErr w:type="spellEnd"/>
      <w:r>
        <w:rPr>
          <w:rFonts w:ascii="Arial" w:hAnsi="Arial" w:cs="Arial"/>
          <w:color w:val="2021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5"/>
          <w:szCs w:val="15"/>
          <w:shd w:val="clear" w:color="auto" w:fill="FFFFFF"/>
        </w:rPr>
        <w:t>Universitatis</w:t>
      </w:r>
      <w:proofErr w:type="spellEnd"/>
      <w:r>
        <w:rPr>
          <w:rFonts w:ascii="Arial" w:hAnsi="Arial" w:cs="Arial"/>
          <w:color w:val="2021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15"/>
          <w:szCs w:val="15"/>
          <w:shd w:val="clear" w:color="auto" w:fill="FFFFFF"/>
        </w:rPr>
        <w:t>Tyrnaviensis</w:t>
      </w:r>
      <w:proofErr w:type="spellEnd"/>
      <w:r>
        <w:rPr>
          <w:rFonts w:ascii="Arial" w:hAnsi="Arial" w:cs="Arial"/>
          <w:color w:val="202122"/>
          <w:sz w:val="15"/>
          <w:szCs w:val="15"/>
          <w:shd w:val="clear" w:color="auto" w:fill="FFFFFF"/>
        </w:rPr>
        <w:t>, 2015. </w:t>
      </w:r>
      <w:hyperlink r:id="rId9" w:tooltip="Špeciálne:KnižnéZdroje/978-80-8082-854-7" w:history="1">
        <w:r>
          <w:rPr>
            <w:rStyle w:val="Hypertextovprepojenie"/>
            <w:rFonts w:ascii="Arial" w:hAnsi="Arial" w:cs="Arial"/>
            <w:color w:val="0645AD"/>
            <w:sz w:val="15"/>
            <w:szCs w:val="15"/>
            <w:u w:val="none"/>
            <w:shd w:val="clear" w:color="auto" w:fill="FFFFFF"/>
          </w:rPr>
          <w:t>ISBN </w:t>
        </w:r>
        <w:r>
          <w:rPr>
            <w:rStyle w:val="isbn"/>
            <w:rFonts w:ascii="Arial" w:hAnsi="Arial" w:cs="Arial"/>
            <w:color w:val="0645AD"/>
            <w:sz w:val="15"/>
            <w:szCs w:val="15"/>
            <w:shd w:val="clear" w:color="auto" w:fill="FFFFFF"/>
          </w:rPr>
          <w:t>978-80-8082-854-7</w:t>
        </w:r>
      </w:hyperlink>
      <w:r>
        <w:rPr>
          <w:rFonts w:ascii="Arial" w:hAnsi="Arial" w:cs="Arial"/>
          <w:color w:val="202122"/>
          <w:sz w:val="15"/>
          <w:szCs w:val="15"/>
          <w:shd w:val="clear" w:color="auto" w:fill="FFFFFF"/>
        </w:rPr>
        <w:t>. S. 15 – 17.</w:t>
      </w:r>
    </w:p>
    <w:p w:rsidR="004F7DCA" w:rsidRPr="004F7DCA" w:rsidRDefault="004F7DCA">
      <w:pPr>
        <w:rPr>
          <w:rFonts w:ascii="Times New Roman" w:hAnsi="Times New Roman" w:cs="Times New Roman"/>
        </w:rPr>
      </w:pPr>
    </w:p>
    <w:sectPr w:rsidR="004F7DCA" w:rsidRPr="004F7DCA" w:rsidSect="00FC43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4D" w:rsidRDefault="003D7A4D" w:rsidP="002347CE">
      <w:pPr>
        <w:spacing w:after="0" w:line="240" w:lineRule="auto"/>
      </w:pPr>
      <w:r>
        <w:separator/>
      </w:r>
    </w:p>
  </w:endnote>
  <w:endnote w:type="continuationSeparator" w:id="0">
    <w:p w:rsidR="003D7A4D" w:rsidRDefault="003D7A4D" w:rsidP="0023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E9" w:rsidRDefault="00ED4BE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E9" w:rsidRDefault="00ED4BE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E9" w:rsidRDefault="00ED4BE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4D" w:rsidRDefault="003D7A4D" w:rsidP="002347CE">
      <w:pPr>
        <w:spacing w:after="0" w:line="240" w:lineRule="auto"/>
      </w:pPr>
      <w:r>
        <w:separator/>
      </w:r>
    </w:p>
  </w:footnote>
  <w:footnote w:type="continuationSeparator" w:id="0">
    <w:p w:rsidR="003D7A4D" w:rsidRDefault="003D7A4D" w:rsidP="0023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E9" w:rsidRDefault="00ED4BE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BA" w:rsidRDefault="00ED4BE9" w:rsidP="00ED4BE9">
    <w:pPr>
      <w:pStyle w:val="Hlavika"/>
      <w:jc w:val="both"/>
    </w:pPr>
    <w:r w:rsidRPr="00ED4BE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-60960</wp:posOffset>
          </wp:positionV>
          <wp:extent cx="982980" cy="784860"/>
          <wp:effectExtent l="0" t="0" r="0" b="0"/>
          <wp:wrapTopAndBottom/>
          <wp:docPr id="9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</w:t>
    </w:r>
    <w:r w:rsidRPr="00ED4BE9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167640</wp:posOffset>
          </wp:positionV>
          <wp:extent cx="2286000" cy="487680"/>
          <wp:effectExtent l="0" t="0" r="0" b="0"/>
          <wp:wrapTopAndBottom/>
          <wp:docPr id="10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E9" w:rsidRDefault="00ED4BE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A1D"/>
    <w:rsid w:val="00040978"/>
    <w:rsid w:val="00134A1D"/>
    <w:rsid w:val="001544BA"/>
    <w:rsid w:val="002347CE"/>
    <w:rsid w:val="003D7A4D"/>
    <w:rsid w:val="004B54FE"/>
    <w:rsid w:val="004D6F04"/>
    <w:rsid w:val="004F7DCA"/>
    <w:rsid w:val="0050136C"/>
    <w:rsid w:val="006B6CC8"/>
    <w:rsid w:val="006E50D1"/>
    <w:rsid w:val="00722811"/>
    <w:rsid w:val="007546FC"/>
    <w:rsid w:val="00A96BF3"/>
    <w:rsid w:val="00E06FE2"/>
    <w:rsid w:val="00E86C72"/>
    <w:rsid w:val="00ED4BE9"/>
    <w:rsid w:val="00F640D0"/>
    <w:rsid w:val="00FC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3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34A1D"/>
    <w:rPr>
      <w:color w:val="0000FF"/>
      <w:u w:val="single"/>
    </w:rPr>
  </w:style>
  <w:style w:type="character" w:customStyle="1" w:styleId="isbn">
    <w:name w:val="isbn"/>
    <w:basedOn w:val="Predvolenpsmoodseku"/>
    <w:rsid w:val="00134A1D"/>
  </w:style>
  <w:style w:type="paragraph" w:styleId="Hlavika">
    <w:name w:val="header"/>
    <w:basedOn w:val="Normlny"/>
    <w:link w:val="HlavikaChar"/>
    <w:uiPriority w:val="99"/>
    <w:semiHidden/>
    <w:unhideWhenUsed/>
    <w:rsid w:val="0023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347CE"/>
  </w:style>
  <w:style w:type="paragraph" w:styleId="Pta">
    <w:name w:val="footer"/>
    <w:basedOn w:val="Normlny"/>
    <w:link w:val="PtaChar"/>
    <w:uiPriority w:val="99"/>
    <w:semiHidden/>
    <w:unhideWhenUsed/>
    <w:rsid w:val="0023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347CE"/>
  </w:style>
  <w:style w:type="paragraph" w:styleId="Textbubliny">
    <w:name w:val="Balloon Text"/>
    <w:basedOn w:val="Normlny"/>
    <w:link w:val="TextbublinyChar"/>
    <w:uiPriority w:val="99"/>
    <w:semiHidden/>
    <w:unhideWhenUsed/>
    <w:rsid w:val="0023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Fredegarova_kronik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k.wikipedia.org/wiki/Fredegarova_kronik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k.wikipedia.org/wiki/Fredegarova_kronik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k.wikipedia.org/wiki/%C5%A0peci%C3%A1lne:Kni%C5%BEn%C3%A9Zdroje/978-80-8082-854-7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2021-07-20T15:26:00Z</cp:lastPrinted>
  <dcterms:created xsi:type="dcterms:W3CDTF">2021-07-20T13:38:00Z</dcterms:created>
  <dcterms:modified xsi:type="dcterms:W3CDTF">2021-10-05T16:51:00Z</dcterms:modified>
</cp:coreProperties>
</file>