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extc1ghswnz8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The Human Skeleton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  <w:rtl w:val="0"/>
        </w:rPr>
        <w:t xml:space="preserve">(sceletum)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function: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for the body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Movement (together with the muscles)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 protection (skull – brain, spine – spinal </w:t>
      </w:r>
      <w:r w:rsidDel="00000000" w:rsidR="00000000" w:rsidRPr="00000000">
        <w:rPr>
          <w:sz w:val="24"/>
          <w:szCs w:val="24"/>
          <w:rtl w:val="0"/>
        </w:rPr>
        <w:t xml:space="preserve">cord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rib cage – lungs, heart)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Composed of 206 bones (some get fused during life)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A: the skull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cranium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the braincase (neurocranium)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Protection for the brain and the sensory organs 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Occipital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occipitale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Parietal bone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parietale 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Frontal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frontale 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Sphenoid bone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</w:t>
      </w:r>
      <w:r w:rsidDel="00000000" w:rsidR="00000000" w:rsidRPr="00000000">
        <w:rPr>
          <w:sz w:val="24"/>
          <w:szCs w:val="24"/>
          <w:rtl w:val="0"/>
        </w:rPr>
        <w:t xml:space="preserve">sphenoidale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 has a saddle-shaped depression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sella turcica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where the pituitary gland is located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Temporal bone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os temporale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petrous part </w:t>
      </w:r>
      <w:r w:rsidDel="00000000" w:rsidR="00000000" w:rsidRPr="00000000">
        <w:rPr>
          <w:b w:val="1"/>
          <w:sz w:val="24"/>
          <w:szCs w:val="24"/>
          <w:rtl w:val="0"/>
        </w:rPr>
        <w:t xml:space="preserve">of the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temporal bone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facial skeleton (splanchnocranium)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Maxilla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maxilla 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Mandible - jaw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mandibula 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Lacrimal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lacrimale 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Nasal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nasale 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Zygomatic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os zygomaticum 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Palatine bones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ossa palatina 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Ethmoid bone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os ethmoidale 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Vomer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Hyoid (lingual) bone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helps to swallow and talk, it is loosely articulated, not found on the skull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B: the bones of the torso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the vertebral column (columna vertebralis)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Composed of vertebrae and intervertebral discs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spine of an adult is curved twice, S-shaped: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sdt>
        <w:sdtPr>
          <w:tag w:val="goog_rdk_0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lordosis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curving forward (cervical, lumbar)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kyphosis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curving backwards (thoracic, sacral) 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scoliosis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curving sideways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vertebrae (vertebrae)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 thoracic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C1: the atlas – does not have a body, only the anterior and the posterior arch and a hollow for the dens of the axis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C2: the axis - (function: connecting the skull and the spine) – the body protrudes into a dens to        connect with C1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 thoracic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12 pairs of ribs are attached to them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 lumbar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 sacral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fused into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sacrum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(os sacrum)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4-5 coccygeal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The structure of a vertebra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the body, the vertebral foramen (for the spinal </w:t>
      </w:r>
      <w:r w:rsidDel="00000000" w:rsidR="00000000" w:rsidRPr="00000000">
        <w:rPr>
          <w:sz w:val="24"/>
          <w:szCs w:val="24"/>
          <w:rtl w:val="0"/>
        </w:rPr>
        <w:t xml:space="preserve">cord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transverse processes, the spinous process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the rib cage (thorax)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protects the heart and the lungs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sternum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os sternum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sdt>
        <w:sdtPr>
          <w:tag w:val="goog_rdk_2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parts: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manubrium, the body, the xiphoid process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 thoracic vertebrae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 pairs of ribs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costae </w:t>
        <w:tab/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sdt>
        <w:sdtPr>
          <w:tag w:val="goog_rdk_3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7 pairs of ‘true ribs’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attached to the sternum via cartilages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sdt>
        <w:sdtPr>
          <w:tag w:val="goog_rdk_4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5 pairs of ‘false ribs’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3 pairs share a cartilage with the ribs above them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sdt>
        <w:sdtPr>
          <w:tag w:val="goog_rdk_6"/>
        </w:sdtPr>
        <w:sdtContent>
          <w:r w:rsidDel="00000000" w:rsidR="00000000" w:rsidRPr="00000000">
            <w:rPr>
              <w:rFonts w:ascii="Fira Mono" w:cs="Fira Mono" w:eastAsia="Fira Mono" w:hAnsi="Fira Mono"/>
              <w:sz w:val="24"/>
              <w:szCs w:val="24"/>
              <w:rtl w:val="0"/>
            </w:rPr>
            <w:t xml:space="preserve">⮡</w:t>
          </w:r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2 pairs of floating ribs, only attached to the vertebrae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C: appendicular bones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Upper part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the shoulder girdle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(connects the arm to the trunk):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scapula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(scapula)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- clavicle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(clavicula)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the upper limb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- humerus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(humerus)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- forearm:</w:t>
        <w:tab/>
        <w:t xml:space="preserve">- ulna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(ulna) – the one pointing to the little finger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- radius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(radius) – to the thumb 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- hand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•  8 carpals – ossa carpi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•  5 metacarpal – ossa metacarpalia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•  14 phalanges článkov prstov - phalanges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 part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pelvic girdle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ilium + ischium + pubis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they fuse into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hip bone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(os coxae)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pelvis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(pelvis) = 2 hip bones joined in the front by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pubic symphysis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by the sacrum in the back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 the hip </w:t>
      </w:r>
      <w:r w:rsidDel="00000000" w:rsidR="00000000" w:rsidRPr="00000000">
        <w:rPr>
          <w:sz w:val="24"/>
          <w:szCs w:val="24"/>
          <w:rtl w:val="0"/>
        </w:rPr>
        <w:t xml:space="preserve">bone 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sacrum a connected by a joint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  S2 -S5 fuse at the age of 14-20 years, S1 fuses between 20th and 30th year of age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the lower limb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femur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(os femoris) – the longest bone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- tibia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(tibia) – to the inner ankle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- fibula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(fibula) – to the outer ankle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- patella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(patella)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- the foot: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•  7 tarsals – ossa tarsi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•  5 metatarsals – ossa metatarsalia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 xml:space="preserve">•  14 phalanges - phalanges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Fira Mono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ffffff"/>
        <w:sz w:val="40"/>
        <w:szCs w:val="40"/>
        <w:rtl w:val="0"/>
      </w:rPr>
      <w:t xml:space="preserve">2020-1-SK01-KA226-SCH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33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4B20C8"/>
    <w:pPr>
      <w:spacing w:after="0" w:line="240" w:lineRule="auto"/>
    </w:pPr>
    <w:rPr>
      <w:rFonts w:ascii="Tahoma" w:cs="Tahoma" w:hAnsi="Tahoma" w:eastAsiaTheme="minorHAnsi"/>
      <w:sz w:val="16"/>
      <w:szCs w:val="16"/>
      <w:lang w:val="sk-SK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4B20C8"/>
    <w:rPr>
      <w:rFonts w:ascii="Tahoma" w:cs="Tahoma" w:hAnsi="Tahoma" w:eastAsiaTheme="minorHAnsi"/>
      <w:sz w:val="16"/>
      <w:szCs w:val="16"/>
      <w:lang w:val="sk-SK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V6Spp9trOxTF3bdz1RH9iof5g==">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2021-11-04T19:13:00Z</dcterms:created>
  <dc:creator>Communication - Europass</dc:creator>
</cp:coreProperties>
</file>