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95B9" w14:textId="77777777" w:rsidR="009879DB" w:rsidRDefault="00F40953">
      <w:pPr>
        <w:spacing w:line="360" w:lineRule="auto"/>
        <w:jc w:val="both"/>
        <w:rPr>
          <w:rFonts w:ascii="Times New Roman" w:hAnsi="Times New Roman"/>
          <w:b/>
          <w:color w:val="FF0000"/>
          <w:sz w:val="28"/>
          <w:szCs w:val="28"/>
        </w:rPr>
      </w:pPr>
      <w:r>
        <w:rPr>
          <w:rFonts w:ascii="Times New Roman" w:hAnsi="Times New Roman"/>
          <w:b/>
          <w:color w:val="FF0000"/>
          <w:sz w:val="28"/>
          <w:szCs w:val="28"/>
        </w:rPr>
        <w:t>Pracovné a koncentračné tábory</w:t>
      </w:r>
    </w:p>
    <w:p w14:paraId="18B4A61D" w14:textId="77777777" w:rsidR="009879DB" w:rsidRDefault="00F40953">
      <w:pPr>
        <w:spacing w:line="360" w:lineRule="auto"/>
        <w:jc w:val="both"/>
        <w:rPr>
          <w:rFonts w:ascii="Times New Roman" w:hAnsi="Times New Roman"/>
          <w:bCs/>
          <w:sz w:val="24"/>
          <w:szCs w:val="24"/>
        </w:rPr>
      </w:pPr>
      <w:r>
        <w:rPr>
          <w:rFonts w:ascii="Times New Roman" w:hAnsi="Times New Roman"/>
          <w:bCs/>
          <w:sz w:val="24"/>
          <w:szCs w:val="24"/>
        </w:rPr>
        <w:t xml:space="preserve">Vznik pracovných táborov súvisí s riešením židovskej otázky, pričom podstatou bola degradácia Židov a ich odstránenie z hospodárskeho života krajiny. Kvôli tomu začali postupne vznikať pracovné </w:t>
      </w:r>
      <w:r>
        <w:rPr>
          <w:rFonts w:ascii="Times New Roman" w:hAnsi="Times New Roman"/>
          <w:bCs/>
          <w:sz w:val="24"/>
          <w:szCs w:val="24"/>
        </w:rPr>
        <w:t xml:space="preserve">tábory, kde boli Židia nútení vykonávať ťažkú prácu a následne boli odvlečení do koncentračných táborov napr. v Poľsku. </w:t>
      </w:r>
    </w:p>
    <w:p w14:paraId="65555A15" w14:textId="77777777" w:rsidR="009879DB" w:rsidRDefault="00F40953">
      <w:pPr>
        <w:spacing w:line="360" w:lineRule="auto"/>
        <w:jc w:val="both"/>
        <w:rPr>
          <w:rFonts w:ascii="Times New Roman" w:hAnsi="Times New Roman"/>
          <w:sz w:val="24"/>
          <w:szCs w:val="24"/>
        </w:rPr>
      </w:pPr>
      <w:r>
        <w:rPr>
          <w:rFonts w:ascii="Times New Roman" w:hAnsi="Times New Roman"/>
          <w:sz w:val="24"/>
          <w:szCs w:val="24"/>
        </w:rPr>
        <w:t>Zriadenie pracovných táborov vychádzalo z predstavy HSĽS, ktorá označovala Židov ako nepriateľov národa. Medzi prvé pracovné tábory, kt</w:t>
      </w:r>
      <w:r>
        <w:rPr>
          <w:rFonts w:ascii="Times New Roman" w:hAnsi="Times New Roman"/>
          <w:sz w:val="24"/>
          <w:szCs w:val="24"/>
        </w:rPr>
        <w:t>oré mali mať diskriminačný charakter, patrili tie, ktoré vznikali od leta 1939 v armáde. Velitelia Hlinkovej gardy sa snažili o vytvorenie civilných pracovných táborov. Počas februára a marca 1940 vznikali pracovné skupiny, v ktorých Židia pracovali v rámc</w:t>
      </w:r>
      <w:r>
        <w:rPr>
          <w:rFonts w:ascii="Times New Roman" w:hAnsi="Times New Roman"/>
          <w:sz w:val="24"/>
          <w:szCs w:val="24"/>
        </w:rPr>
        <w:t xml:space="preserve">i brannej povinnosti. V roku 1941 začali vznikať pracovné strediská pre práceschopných Židov vyradených z pracovného života. Prvé takéto stredisko bolo v Strážnom.  Vláda vydala 4.7. 1941 nariadenie o pracovnej povinnosti Židov.  Minister vnútra Alexander </w:t>
      </w:r>
      <w:r>
        <w:rPr>
          <w:rFonts w:ascii="Times New Roman" w:hAnsi="Times New Roman"/>
          <w:sz w:val="24"/>
          <w:szCs w:val="24"/>
        </w:rPr>
        <w:t>Mach počas augusta 1941 osobne navštívil v sprievode odborníkov mnohé miesta na Slovensku. Úlohou bolo vybrať vhodné oblasti na výstavbu táborov. Predpoklad pre zriadenia pracovného tábora pre Židov bol výber vhodného miesta. To malo poskytovať dostatok ub</w:t>
      </w:r>
      <w:r>
        <w:rPr>
          <w:rFonts w:ascii="Times New Roman" w:hAnsi="Times New Roman"/>
          <w:sz w:val="24"/>
          <w:szCs w:val="24"/>
        </w:rPr>
        <w:t>ytovacích kapacít, alebo možnosti na ich vybudovanie. Dôležitá aj otázka výrobnej infraštruktúry. Potrebný bol dostatok priestorov a zariadení využiteľných na výrobnú činnosť. Definitívny výber padol na mestá Sereď, Vyhne a Nováky. V Seredi a Novákoch exis</w:t>
      </w:r>
      <w:r>
        <w:rPr>
          <w:rFonts w:ascii="Times New Roman" w:hAnsi="Times New Roman"/>
          <w:sz w:val="24"/>
          <w:szCs w:val="24"/>
        </w:rPr>
        <w:t xml:space="preserve">tovali priestory vo vlastníctve ministerstva národnej obrany, ktoré mali byť prerobené na pracovné tábory. V oboch prípadoch sa využili vojenské objekty. Úlohu pri rozhodovaní  zohrávala aj  dopravná infraštruktúra, najmä blízkosť železníc. Pracovný tábor </w:t>
      </w:r>
      <w:r>
        <w:rPr>
          <w:rFonts w:ascii="Times New Roman" w:hAnsi="Times New Roman"/>
          <w:sz w:val="24"/>
          <w:szCs w:val="24"/>
        </w:rPr>
        <w:t>vo Vyhniach vznikol na mieste štátnych kúpeľov. Výrobná činnosť pracovných táborov bola rôznorodá. V Seredi mala najväčšiu produkciu stolárska dielňa a výroba hračiek. V Novákoch to bola výroba konfekcie a kožušníctvo. Vo Vyhniach to bolo tiež konfekcia, a</w:t>
      </w:r>
      <w:r>
        <w:rPr>
          <w:rFonts w:ascii="Times New Roman" w:hAnsi="Times New Roman"/>
          <w:sz w:val="24"/>
          <w:szCs w:val="24"/>
        </w:rPr>
        <w:t>le aj stavebné práce zamerané na  výstavbu bazéna.  Uvedené podniky vyrábali zákazky pre štát, ministerstvá či iné verejné inštitúcie.</w:t>
      </w:r>
    </w:p>
    <w:p w14:paraId="166DD6A3" w14:textId="77777777" w:rsidR="009879DB" w:rsidRDefault="009879DB">
      <w:pPr>
        <w:spacing w:line="360" w:lineRule="auto"/>
        <w:jc w:val="both"/>
        <w:rPr>
          <w:rFonts w:ascii="Times New Roman" w:hAnsi="Times New Roman"/>
          <w:sz w:val="24"/>
          <w:szCs w:val="24"/>
        </w:rPr>
      </w:pPr>
    </w:p>
    <w:p w14:paraId="0ECFDA20" w14:textId="77777777" w:rsidR="009879DB" w:rsidRDefault="00F40953">
      <w:pPr>
        <w:spacing w:line="360" w:lineRule="auto"/>
        <w:jc w:val="both"/>
        <w:rPr>
          <w:rFonts w:ascii="Times New Roman" w:hAnsi="Times New Roman"/>
          <w:b/>
          <w:bCs/>
          <w:color w:val="FF0000"/>
          <w:sz w:val="28"/>
          <w:szCs w:val="28"/>
        </w:rPr>
      </w:pPr>
      <w:r>
        <w:rPr>
          <w:rFonts w:ascii="Times New Roman" w:hAnsi="Times New Roman"/>
          <w:b/>
          <w:bCs/>
          <w:color w:val="FF0000"/>
          <w:sz w:val="28"/>
          <w:szCs w:val="28"/>
        </w:rPr>
        <w:t>Pracovný tábor v Seredi</w:t>
      </w:r>
    </w:p>
    <w:p w14:paraId="56EFA5DC" w14:textId="77777777" w:rsidR="009879DB" w:rsidRDefault="00F40953">
      <w:pPr>
        <w:spacing w:line="360" w:lineRule="auto"/>
        <w:jc w:val="both"/>
        <w:rPr>
          <w:rFonts w:ascii="Times New Roman" w:hAnsi="Times New Roman"/>
          <w:sz w:val="24"/>
          <w:szCs w:val="24"/>
        </w:rPr>
      </w:pPr>
      <w:r>
        <w:rPr>
          <w:rFonts w:ascii="Times New Roman" w:hAnsi="Times New Roman"/>
          <w:sz w:val="24"/>
          <w:szCs w:val="24"/>
        </w:rPr>
        <w:t>S výstavbou tábora sa začalo 18. septembra 1941. Na stavbu boli využité vojenské objekty. Od mar</w:t>
      </w:r>
      <w:r>
        <w:rPr>
          <w:rFonts w:ascii="Times New Roman" w:hAnsi="Times New Roman"/>
          <w:sz w:val="24"/>
          <w:szCs w:val="24"/>
        </w:rPr>
        <w:t>ca 1942 boli v tábore sústreďovaní Židia. V priebehu augusta 1942 tu bolo 520 židovských osôb. Dozor nad nimi vykonávali komisári tábora. Prvým zvoleným bol Jozef Vozár. Okrem komisára mali tábor na starosti príslušníci Hlinkovej gardy. Príslušníci  HG kon</w:t>
      </w:r>
      <w:r>
        <w:rPr>
          <w:rFonts w:ascii="Times New Roman" w:hAnsi="Times New Roman"/>
          <w:sz w:val="24"/>
          <w:szCs w:val="24"/>
        </w:rPr>
        <w:t xml:space="preserve">trolovali disciplínu, pracovné nasadenie </w:t>
      </w:r>
      <w:r>
        <w:rPr>
          <w:rFonts w:ascii="Times New Roman" w:hAnsi="Times New Roman"/>
          <w:sz w:val="24"/>
          <w:szCs w:val="24"/>
        </w:rPr>
        <w:lastRenderedPageBreak/>
        <w:t xml:space="preserve">ako aj súkromie Židov nachádzajúcich sa v tábore. Často sa dopúšťali násilností voči Židom. Na jar 1944 boli gardisti nahradení žandármi. </w:t>
      </w:r>
    </w:p>
    <w:p w14:paraId="42BAD784" w14:textId="77777777" w:rsidR="009879DB" w:rsidRDefault="00F40953">
      <w:pPr>
        <w:spacing w:line="360" w:lineRule="auto"/>
        <w:jc w:val="both"/>
        <w:rPr>
          <w:rFonts w:ascii="Times New Roman" w:hAnsi="Times New Roman"/>
          <w:sz w:val="24"/>
          <w:szCs w:val="24"/>
        </w:rPr>
      </w:pPr>
      <w:r>
        <w:rPr>
          <w:rFonts w:ascii="Times New Roman" w:hAnsi="Times New Roman"/>
          <w:sz w:val="24"/>
          <w:szCs w:val="24"/>
        </w:rPr>
        <w:t>Židia nachádzajúci sa v tábore sa nazývali zaradenci. Ubytovaní boli v barak</w:t>
      </w:r>
      <w:r>
        <w:rPr>
          <w:rFonts w:ascii="Times New Roman" w:hAnsi="Times New Roman"/>
          <w:sz w:val="24"/>
          <w:szCs w:val="24"/>
        </w:rPr>
        <w:t>och. Ako pracovný tábor fungovala Sereď v čase od februára 1942 do augusta 1944.  Všetci zaradenci boli pred nástupom nútení podrobiť sa prehliadke. Počas nej sa kontrolovalo, čo obsahuje ich batožina. Povolené predmety boli napr. oblečenie, bielizeň, peri</w:t>
      </w:r>
      <w:r>
        <w:rPr>
          <w:rFonts w:ascii="Times New Roman" w:hAnsi="Times New Roman"/>
          <w:sz w:val="24"/>
          <w:szCs w:val="24"/>
        </w:rPr>
        <w:t>ny, potraviny, knihy, kuchynský riad, iné predmety dennej spotreby. Nepovolené predmety, ako napríklad cigarety, šperky, zápalky, boli Židom zhabané.  Rodiny boli ubytované v barakoch spolu, cca 3-4 rodiny v jednej izbe. Zoznam ubytovaných bol vyvesený pre</w:t>
      </w:r>
      <w:r>
        <w:rPr>
          <w:rFonts w:ascii="Times New Roman" w:hAnsi="Times New Roman"/>
          <w:sz w:val="24"/>
          <w:szCs w:val="24"/>
        </w:rPr>
        <w:t>d každou izbou. V barakoch nebol nábytok, osobné veci mali obyvatelia uložené na zemi.  Počet ubytovacích barakov bol 5. Každý barak mal veliteľa a zástupcu. Dennú službu vykonávali zaradenci, ktorí neboli súčasťou pracovného zaradenia, najmä staršie osoby</w:t>
      </w:r>
      <w:r>
        <w:rPr>
          <w:rFonts w:ascii="Times New Roman" w:hAnsi="Times New Roman"/>
          <w:sz w:val="24"/>
          <w:szCs w:val="24"/>
        </w:rPr>
        <w:t xml:space="preserve"> – umývali dlažbu, záchody. Večierka bola v tábore nastavená na 21.00 hodinu. Život väzňov komplikovala chýbajúca kanalizácia, nedostatok šatstva, choroby – čierny kašeľ, týfus. Náboženské aktivity sa týkali len pokrstených Židov. Napriek tomu, že išlo o p</w:t>
      </w:r>
      <w:r>
        <w:rPr>
          <w:rFonts w:ascii="Times New Roman" w:hAnsi="Times New Roman"/>
          <w:sz w:val="24"/>
          <w:szCs w:val="24"/>
        </w:rPr>
        <w:t>racovný tábor, nachádzali sa v ňom budovy, ktoré väzňom aspoň čiastočne uľahčovali život. Boli to jasle a škola pre deti, zriadené bolo aj divadelné oddelenie, mohli sa hrať spoločenské hry ako stolný futbal, zriadená bola aj knižnica.</w:t>
      </w:r>
    </w:p>
    <w:p w14:paraId="14EAC0B1" w14:textId="77777777" w:rsidR="009879DB" w:rsidRDefault="00F40953">
      <w:pPr>
        <w:spacing w:line="360" w:lineRule="auto"/>
        <w:jc w:val="both"/>
        <w:rPr>
          <w:rFonts w:ascii="Times New Roman" w:hAnsi="Times New Roman"/>
          <w:sz w:val="24"/>
          <w:szCs w:val="24"/>
        </w:rPr>
      </w:pPr>
      <w:r>
        <w:rPr>
          <w:rFonts w:ascii="Times New Roman" w:hAnsi="Times New Roman"/>
          <w:sz w:val="24"/>
          <w:szCs w:val="24"/>
        </w:rPr>
        <w:t>Pracovná doba v tábo</w:t>
      </w:r>
      <w:r>
        <w:rPr>
          <w:rFonts w:ascii="Times New Roman" w:hAnsi="Times New Roman"/>
          <w:sz w:val="24"/>
          <w:szCs w:val="24"/>
        </w:rPr>
        <w:t>re bola nasledovná:</w:t>
      </w:r>
    </w:p>
    <w:p w14:paraId="0CEF02B2" w14:textId="77777777" w:rsidR="009879DB" w:rsidRDefault="00F40953">
      <w:pPr>
        <w:spacing w:line="360" w:lineRule="auto"/>
        <w:jc w:val="both"/>
        <w:rPr>
          <w:rFonts w:ascii="Times New Roman" w:hAnsi="Times New Roman"/>
          <w:sz w:val="24"/>
          <w:szCs w:val="24"/>
        </w:rPr>
      </w:pPr>
      <w:r>
        <w:rPr>
          <w:rFonts w:ascii="Times New Roman" w:hAnsi="Times New Roman"/>
          <w:sz w:val="24"/>
          <w:szCs w:val="24"/>
        </w:rPr>
        <w:t xml:space="preserve">Muži: 7:00-12:00; 13:00-18:00 </w:t>
      </w:r>
    </w:p>
    <w:p w14:paraId="48472993" w14:textId="77777777" w:rsidR="009879DB" w:rsidRDefault="00F40953">
      <w:pPr>
        <w:spacing w:line="360" w:lineRule="auto"/>
        <w:jc w:val="both"/>
        <w:rPr>
          <w:rFonts w:ascii="Times New Roman" w:hAnsi="Times New Roman"/>
          <w:sz w:val="24"/>
          <w:szCs w:val="24"/>
        </w:rPr>
      </w:pPr>
      <w:r>
        <w:rPr>
          <w:rFonts w:ascii="Times New Roman" w:hAnsi="Times New Roman"/>
          <w:sz w:val="24"/>
          <w:szCs w:val="24"/>
        </w:rPr>
        <w:t>Ženy: 7:30-11:45;12:15-17:45.</w:t>
      </w:r>
    </w:p>
    <w:p w14:paraId="6D12CE1B" w14:textId="77777777" w:rsidR="009879DB" w:rsidRDefault="00F40953">
      <w:pPr>
        <w:spacing w:line="360" w:lineRule="auto"/>
        <w:jc w:val="both"/>
        <w:rPr>
          <w:rFonts w:ascii="Times New Roman" w:hAnsi="Times New Roman"/>
          <w:sz w:val="24"/>
          <w:szCs w:val="24"/>
        </w:rPr>
      </w:pPr>
      <w:r>
        <w:rPr>
          <w:rFonts w:ascii="Times New Roman" w:hAnsi="Times New Roman"/>
          <w:sz w:val="24"/>
          <w:szCs w:val="24"/>
        </w:rPr>
        <w:t>Pracovné podniky sa v Seredi delili na zárobkové a nezárobkové. K zárobkovým patria: stolárska dielňa, klampiarstvo, hračkárstvo, betonárstvo, kožušníctvo, hodinárstvo, čalúnn</w:t>
      </w:r>
      <w:r>
        <w:rPr>
          <w:rFonts w:ascii="Times New Roman" w:hAnsi="Times New Roman"/>
          <w:sz w:val="24"/>
          <w:szCs w:val="24"/>
        </w:rPr>
        <w:t xml:space="preserve">ictvo. K nezárobkovým patria: kuchyňa, polícia, holičstvo, škola, práčovňa, kantína, chov dobytka. Obyvatelia tábora museli plniť aj poľnohospodárske práce na samozabezpečenie chodu tábora. Najvýnosnejšou bola stolárska dielňa. </w:t>
      </w:r>
    </w:p>
    <w:p w14:paraId="0579DC9F" w14:textId="77777777" w:rsidR="009879DB" w:rsidRDefault="00F40953">
      <w:pPr>
        <w:spacing w:line="360" w:lineRule="auto"/>
        <w:jc w:val="both"/>
        <w:rPr>
          <w:rFonts w:ascii="Times New Roman" w:hAnsi="Times New Roman"/>
          <w:sz w:val="24"/>
          <w:szCs w:val="24"/>
        </w:rPr>
      </w:pPr>
      <w:r>
        <w:rPr>
          <w:rFonts w:ascii="Times New Roman" w:hAnsi="Times New Roman"/>
          <w:sz w:val="24"/>
          <w:szCs w:val="24"/>
        </w:rPr>
        <w:t xml:space="preserve">Od marca do septembra 1942 </w:t>
      </w:r>
      <w:r>
        <w:rPr>
          <w:rFonts w:ascii="Times New Roman" w:hAnsi="Times New Roman"/>
          <w:sz w:val="24"/>
          <w:szCs w:val="24"/>
        </w:rPr>
        <w:t>boli zo Serede odtransportovaných vyše 4000 osôb. Transporty sa obnovili po vypuknutí Slovenského národného povstania, kedy sa zo Serede stáva opäť koncentračné stredisko. Dovlečení však už neboli len Židia, ale aj povstalci, partizáni či podporovatelia SN</w:t>
      </w:r>
      <w:r>
        <w:rPr>
          <w:rFonts w:ascii="Times New Roman" w:hAnsi="Times New Roman"/>
          <w:sz w:val="24"/>
          <w:szCs w:val="24"/>
        </w:rPr>
        <w:t xml:space="preserve">P. Od konca októbra 1944 do marca 1945 bolo zo Serede deportovaných vyše 11 000 osôb. </w:t>
      </w:r>
    </w:p>
    <w:p w14:paraId="2F116826" w14:textId="77777777" w:rsidR="009879DB" w:rsidRDefault="00F40953">
      <w:pPr>
        <w:spacing w:line="360" w:lineRule="auto"/>
        <w:jc w:val="both"/>
        <w:rPr>
          <w:rFonts w:ascii="Times New Roman" w:hAnsi="Times New Roman"/>
          <w:sz w:val="24"/>
          <w:szCs w:val="24"/>
        </w:rPr>
      </w:pPr>
      <w:r>
        <w:rPr>
          <w:rFonts w:ascii="Times New Roman" w:hAnsi="Times New Roman"/>
          <w:sz w:val="24"/>
          <w:szCs w:val="24"/>
        </w:rPr>
        <w:lastRenderedPageBreak/>
        <w:t>Po vypuknutí SNP bol tábor na príkaz Okresného žandárskeho veliteľa v Trnave dňa 30.8.1944 otvorení. Mnohí zaradenci odišli a pridali sa na stranu povstalcov, nábytok či</w:t>
      </w:r>
      <w:r>
        <w:rPr>
          <w:rFonts w:ascii="Times New Roman" w:hAnsi="Times New Roman"/>
          <w:sz w:val="24"/>
          <w:szCs w:val="24"/>
        </w:rPr>
        <w:t xml:space="preserve"> dielne boli rozkradnuté či zničené. Krátko po tom, 2.9.1944 bol tábor obsadený nemeckými príslušníkmi SS a následne bola obnovená jeho činnosť. V prvej fáze deportácií, od marca do septembra 1942 boli zo Serede odtransportovaných vyše 4000 osôb. Transport</w:t>
      </w:r>
      <w:r>
        <w:rPr>
          <w:rFonts w:ascii="Times New Roman" w:hAnsi="Times New Roman"/>
          <w:sz w:val="24"/>
          <w:szCs w:val="24"/>
        </w:rPr>
        <w:t>y, ktoré obnovili po vypuknutí Slovenského národného povstania, boli omnoho rozsiahlejšie. Dovlečení však už neboli len Židia, ale aj povstalci, partizáni či podporovatelia SNP. Od konca októbra 1944 do marca 1945 bolo zo Serede deportovaných vyše 11 500 o</w:t>
      </w:r>
      <w:r>
        <w:rPr>
          <w:rFonts w:ascii="Times New Roman" w:hAnsi="Times New Roman"/>
          <w:sz w:val="24"/>
          <w:szCs w:val="24"/>
        </w:rPr>
        <w:t xml:space="preserve">sôb. </w:t>
      </w:r>
    </w:p>
    <w:p w14:paraId="49D54FF9" w14:textId="77777777" w:rsidR="009879DB" w:rsidRDefault="009879DB">
      <w:pPr>
        <w:spacing w:line="360" w:lineRule="auto"/>
        <w:jc w:val="both"/>
        <w:rPr>
          <w:rFonts w:ascii="Times New Roman" w:hAnsi="Times New Roman"/>
          <w:sz w:val="24"/>
          <w:szCs w:val="24"/>
        </w:rPr>
      </w:pPr>
    </w:p>
    <w:p w14:paraId="1769D8F4" w14:textId="77777777" w:rsidR="009879DB" w:rsidRDefault="009879DB">
      <w:pPr>
        <w:spacing w:line="360" w:lineRule="auto"/>
        <w:jc w:val="both"/>
        <w:rPr>
          <w:rFonts w:ascii="Times New Roman" w:hAnsi="Times New Roman"/>
          <w:bCs/>
          <w:sz w:val="24"/>
          <w:szCs w:val="24"/>
        </w:rPr>
      </w:pPr>
    </w:p>
    <w:p w14:paraId="52B4C5C8" w14:textId="77777777" w:rsidR="009879DB" w:rsidRDefault="009879DB">
      <w:pPr>
        <w:pStyle w:val="Normale"/>
      </w:pPr>
    </w:p>
    <w:sectPr w:rsidR="009879DB">
      <w:headerReference w:type="default" r:id="rId6"/>
      <w:footerReference w:type="default" r:id="rId7"/>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1B44" w14:textId="77777777" w:rsidR="00F40953" w:rsidRDefault="00F40953">
      <w:pPr>
        <w:spacing w:after="0" w:line="240" w:lineRule="auto"/>
      </w:pPr>
      <w:r>
        <w:separator/>
      </w:r>
    </w:p>
  </w:endnote>
  <w:endnote w:type="continuationSeparator" w:id="0">
    <w:p w14:paraId="6582A7A8" w14:textId="77777777" w:rsidR="00F40953" w:rsidRDefault="00F4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DE31" w14:textId="77777777" w:rsidR="004C474C" w:rsidRDefault="00F40953">
    <w:pPr>
      <w:pStyle w:val="Pidipagina"/>
    </w:pPr>
    <w:r>
      <w:rPr>
        <w:noProof/>
      </w:rPr>
      <mc:AlternateContent>
        <mc:Choice Requires="wps">
          <w:drawing>
            <wp:anchor distT="0" distB="0" distL="114300" distR="114300" simplePos="0" relativeHeight="251663360" behindDoc="0" locked="0" layoutInCell="1" allowOverlap="1" wp14:anchorId="3A17E0AD" wp14:editId="4113100F">
              <wp:simplePos x="0" y="0"/>
              <wp:positionH relativeFrom="column">
                <wp:posOffset>-720090</wp:posOffset>
              </wp:positionH>
              <wp:positionV relativeFrom="paragraph">
                <wp:posOffset>415293</wp:posOffset>
              </wp:positionV>
              <wp:extent cx="7610478" cy="257175"/>
              <wp:effectExtent l="0" t="0" r="9522" b="9525"/>
              <wp:wrapNone/>
              <wp:docPr id="4" name="Rettangolo 1"/>
              <wp:cNvGraphicFramePr/>
              <a:graphic xmlns:a="http://schemas.openxmlformats.org/drawingml/2006/main">
                <a:graphicData uri="http://schemas.microsoft.com/office/word/2010/wordprocessingShape">
                  <wps:wsp>
                    <wps:cNvSpPr/>
                    <wps:spPr>
                      <a:xfrm>
                        <a:off x="0" y="0"/>
                        <a:ext cx="7610478" cy="257175"/>
                      </a:xfrm>
                      <a:prstGeom prst="rect">
                        <a:avLst/>
                      </a:prstGeom>
                      <a:solidFill>
                        <a:srgbClr val="9F86C0"/>
                      </a:solidFill>
                      <a:ln cap="flat">
                        <a:noFill/>
                        <a:prstDash val="solid"/>
                      </a:ln>
                    </wps:spPr>
                    <wps:bodyPr lIns="0" tIns="0" rIns="0" bIns="0"/>
                  </wps:wsp>
                </a:graphicData>
              </a:graphic>
            </wp:anchor>
          </w:drawing>
        </mc:Choice>
        <mc:Fallback>
          <w:pict>
            <v:rect w14:anchorId="51FFBC10" id="Rettangolo 1" o:spid="_x0000_s1026" style="position:absolute;margin-left:-56.7pt;margin-top:32.7pt;width:599.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" fillcolor="#9f86c0" stroked="f">
              <v:textbox inset="0,0,0,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810A" w14:textId="77777777" w:rsidR="00F40953" w:rsidRDefault="00F40953">
      <w:pPr>
        <w:spacing w:after="0" w:line="240" w:lineRule="auto"/>
      </w:pPr>
      <w:r>
        <w:rPr>
          <w:color w:val="000000"/>
        </w:rPr>
        <w:separator/>
      </w:r>
    </w:p>
  </w:footnote>
  <w:footnote w:type="continuationSeparator" w:id="0">
    <w:p w14:paraId="19B20CFA" w14:textId="77777777" w:rsidR="00F40953" w:rsidRDefault="00F40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8F6" w14:textId="77777777" w:rsidR="004C474C" w:rsidRDefault="00F40953">
    <w:pPr>
      <w:pStyle w:val="Intestazione"/>
    </w:pPr>
    <w:r>
      <w:rPr>
        <w:noProof/>
      </w:rPr>
      <w:drawing>
        <wp:anchor distT="0" distB="0" distL="114300" distR="114300" simplePos="0" relativeHeight="251659264" behindDoc="0" locked="0" layoutInCell="1" allowOverlap="1" wp14:anchorId="0B21421C" wp14:editId="15F1E7AB">
          <wp:simplePos x="0" y="0"/>
          <wp:positionH relativeFrom="column">
            <wp:posOffset>4004313</wp:posOffset>
          </wp:positionH>
          <wp:positionV relativeFrom="paragraph">
            <wp:posOffset>169548</wp:posOffset>
          </wp:positionV>
          <wp:extent cx="2289172" cy="485775"/>
          <wp:effectExtent l="0" t="0" r="0" b="9525"/>
          <wp:wrapTopAndBottom/>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9172" cy="48577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7C514723" wp14:editId="5522F682">
          <wp:simplePos x="0" y="0"/>
          <wp:positionH relativeFrom="column">
            <wp:posOffset>-91440</wp:posOffset>
          </wp:positionH>
          <wp:positionV relativeFrom="paragraph">
            <wp:posOffset>-59692</wp:posOffset>
          </wp:positionV>
          <wp:extent cx="981078" cy="782955"/>
          <wp:effectExtent l="0" t="0" r="9522" b="0"/>
          <wp:wrapTopAndBottom/>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81078" cy="782955"/>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1312" behindDoc="0" locked="0" layoutInCell="1" allowOverlap="1" wp14:anchorId="3957CF8A" wp14:editId="78C1B3B3">
              <wp:simplePos x="0" y="0"/>
              <wp:positionH relativeFrom="column">
                <wp:posOffset>-272418</wp:posOffset>
              </wp:positionH>
              <wp:positionV relativeFrom="paragraph">
                <wp:posOffset>910586</wp:posOffset>
              </wp:positionV>
              <wp:extent cx="6771644" cy="0"/>
              <wp:effectExtent l="0" t="0" r="0" b="0"/>
              <wp:wrapTopAndBottom/>
              <wp:docPr id="3" name="Connettore diritto 4"/>
              <wp:cNvGraphicFramePr/>
              <a:graphic xmlns:a="http://schemas.openxmlformats.org/drawingml/2006/main">
                <a:graphicData uri="http://schemas.microsoft.com/office/word/2010/wordprocessingShape">
                  <wps:wsp>
                    <wps:cNvCnPr/>
                    <wps:spPr>
                      <a:xfrm>
                        <a:off x="0" y="0"/>
                        <a:ext cx="6771644" cy="0"/>
                      </a:xfrm>
                      <a:prstGeom prst="straightConnector1">
                        <a:avLst/>
                      </a:prstGeom>
                      <a:noFill/>
                      <a:ln w="6345" cap="flat">
                        <a:solidFill>
                          <a:srgbClr val="9F86C0"/>
                        </a:solidFill>
                        <a:prstDash val="solid"/>
                        <a:miter/>
                      </a:ln>
                    </wps:spPr>
                    <wps:bodyPr/>
                  </wps:wsp>
                </a:graphicData>
              </a:graphic>
            </wp:anchor>
          </w:drawing>
        </mc:Choice>
        <mc:Fallback>
          <w:pict>
            <v:shapetype w14:anchorId="7ADCA925" id="_x0000_t32" coordsize="21600,21600" o:spt="32" o:oned="t" path="m,l21600,21600e" filled="f">
              <v:path arrowok="t" fillok="f" o:connecttype="none"/>
              <o:lock v:ext="edit" shapetype="t"/>
            </v:shapetype>
            <v:shape id="Connettore diritto 4" o:spid="_x0000_s1026" type="#_x0000_t32" style="position:absolute;margin-left:-21.45pt;margin-top:71.7pt;width:533.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" strokecolor="#9f86c0" strokeweight=".17625mm">
              <v:stroke joinstyle="miter"/>
              <w10:wrap type="topAndBottom"/>
            </v:shape>
          </w:pict>
        </mc:Fallback>
      </mc:AlternateContent>
    </w:r>
  </w:p>
  <w:p w14:paraId="522420C7" w14:textId="77777777" w:rsidR="004C474C" w:rsidRDefault="00F4095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879DB"/>
    <w:rsid w:val="009879DB"/>
    <w:rsid w:val="00AB1FD6"/>
    <w:rsid w:val="00F409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F215"/>
  <w15:docId w15:val="{F6827B4E-0CA4-402A-B889-A9C59EB4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Intestazione">
    <w:name w:val="Intestazione"/>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customStyle="1" w:styleId="Pidipagina">
    <w:name w:val="Piè di pagina"/>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 Europass</dc:creator>
  <dc:description/>
  <cp:lastModifiedBy>Gabriel Kosiczky</cp:lastModifiedBy>
  <cp:revision>2</cp:revision>
  <dcterms:created xsi:type="dcterms:W3CDTF">2021-10-15T11:39:00Z</dcterms:created>
  <dcterms:modified xsi:type="dcterms:W3CDTF">2021-10-15T11:39:00Z</dcterms:modified>
</cp:coreProperties>
</file>