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line="225" w:lineRule="auto"/>
        <w:ind w:left="0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vztvnfu9wrjx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2020-1-SK01-KA226-SCH-094350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before="100" w:line="276" w:lineRule="auto"/>
        <w:ind w:left="120" w:right="120" w:firstLine="70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URINARY SYSTEM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76" w:lineRule="auto"/>
        <w:ind w:left="116" w:right="117" w:firstLine="707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76" w:lineRule="auto"/>
        <w:ind w:left="116" w:right="117" w:firstLine="70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76" w:lineRule="auto"/>
        <w:ind w:left="708.6614173228347" w:right="117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zabezpečuje odstránenie splodín látkového metabolizmu a odpadových látok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Skladá sa z: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6"/>
          <w:tab w:val="left" w:pos="837"/>
        </w:tabs>
        <w:spacing w:after="0" w:before="41" w:line="240" w:lineRule="auto"/>
        <w:ind w:left="836" w:right="0" w:hanging="361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oblič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iek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(renes)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6"/>
          <w:tab w:val="left" w:pos="837"/>
        </w:tabs>
        <w:spacing w:after="0" w:before="41" w:line="240" w:lineRule="auto"/>
        <w:ind w:left="836" w:right="0" w:hanging="361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močovodov (ureter)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6"/>
          <w:tab w:val="left" w:pos="837"/>
        </w:tabs>
        <w:spacing w:after="0" w:before="40" w:line="240" w:lineRule="auto"/>
        <w:ind w:left="836" w:right="0" w:hanging="361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močov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ého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mechúra (vesica urenaria)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6"/>
          <w:tab w:val="left" w:pos="837"/>
        </w:tabs>
        <w:spacing w:after="0" w:before="44" w:line="240" w:lineRule="auto"/>
        <w:ind w:left="836" w:right="0" w:hanging="361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močov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ej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rúr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(urethra)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6"/>
          <w:tab w:val="left" w:pos="837"/>
        </w:tabs>
        <w:spacing w:after="0" w:before="44" w:line="240" w:lineRule="auto"/>
        <w:ind w:left="836" w:right="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pos="836"/>
          <w:tab w:val="left" w:pos="837"/>
        </w:tabs>
        <w:spacing w:after="0" w:before="44" w:line="240" w:lineRule="auto"/>
        <w:ind w:left="836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114300" distT="114300" distL="114300" distR="114300">
            <wp:extent cx="3649662" cy="264166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9662" cy="2641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pos="836"/>
          <w:tab w:val="left" w:pos="837"/>
        </w:tabs>
        <w:spacing w:after="0" w:before="44" w:line="240" w:lineRule="auto"/>
        <w:ind w:left="836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6"/>
          <w:tab w:val="left" w:pos="837"/>
        </w:tabs>
        <w:spacing w:after="0" w:before="44" w:line="240" w:lineRule="auto"/>
        <w:ind w:left="836" w:right="0" w:firstLine="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https://www.istockphoto.com/photo/kidney-in-human-body-gm1201820577-344801885?utm_source=pixabay&amp;utm_medium=affiliate&amp;utm_campaign=SRP_image_sponsored&amp;referrer_url=http%3A%2F%2Fpixabay.com%2Fsk%2Fimages%2Fsearch%2Furinary%2F&amp;utm_term=urinary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spacing w:after="200" w:line="276" w:lineRule="auto"/>
        <w:ind w:firstLine="116"/>
        <w:rPr/>
      </w:pPr>
      <w:r w:rsidDel="00000000" w:rsidR="00000000" w:rsidRPr="00000000">
        <w:rPr>
          <w:rtl w:val="0"/>
        </w:rPr>
        <w:t xml:space="preserve">Stavba vylučovacej sústavy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obličky -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hlavný orgán vylučovacej sústavy, uložený v oblasti driekovej chrbtice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200" w:before="0" w:line="276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je to párový orgán veľkosti 12x6x3 cm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200" w:before="0" w:line="276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sú chránené tukovým tkanivom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200"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tvorí ich: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kôra s nefrónmi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dreň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line="276" w:lineRule="auto"/>
        <w:ind w:left="1440" w:hanging="360"/>
        <w:rPr>
          <w:rFonts w:ascii="Times New Roman" w:cs="Times New Roman" w:eastAsia="Times New Roman" w:hAnsi="Times New Roman"/>
          <w:b w:val="1"/>
          <w:sz w:val="34"/>
          <w:szCs w:val="3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vertAlign w:val="superscript"/>
          <w:rtl w:val="0"/>
        </w:rPr>
        <w:t xml:space="preserve">stavba nefrónu:</w:t>
        <w:tab/>
        <w:t xml:space="preserve">Malpighiho teliesko - </w:t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vertAlign w:val="superscript"/>
          <w:rtl w:val="0"/>
        </w:rPr>
        <w:t xml:space="preserve">glomerulus</w:t>
      </w:r>
    </w:p>
    <w:p w:rsidR="00000000" w:rsidDel="00000000" w:rsidP="00000000" w:rsidRDefault="00000000" w:rsidRPr="00000000" w14:paraId="00000017">
      <w:pPr>
        <w:numPr>
          <w:ilvl w:val="5"/>
          <w:numId w:val="3"/>
        </w:numPr>
        <w:spacing w:after="0" w:line="276" w:lineRule="auto"/>
        <w:ind w:left="5040" w:hanging="360"/>
        <w:rPr>
          <w:rFonts w:ascii="Times New Roman" w:cs="Times New Roman" w:eastAsia="Times New Roman" w:hAnsi="Times New Roman"/>
          <w:sz w:val="34"/>
          <w:szCs w:val="3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vertAlign w:val="superscript"/>
          <w:rtl w:val="0"/>
        </w:rPr>
        <w:t xml:space="preserve">Bowmanovo puzdro</w:t>
      </w:r>
    </w:p>
    <w:p w:rsidR="00000000" w:rsidDel="00000000" w:rsidP="00000000" w:rsidRDefault="00000000" w:rsidRPr="00000000" w14:paraId="00000018">
      <w:pPr>
        <w:spacing w:after="0" w:line="276" w:lineRule="auto"/>
        <w:ind w:left="0" w:firstLine="0"/>
        <w:rPr>
          <w:rFonts w:ascii="Times New Roman" w:cs="Times New Roman" w:eastAsia="Times New Roman" w:hAnsi="Times New Roman"/>
          <w:sz w:val="34"/>
          <w:szCs w:val="3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vertAlign w:val="superscript"/>
          <w:rtl w:val="0"/>
        </w:rPr>
        <w:tab/>
        <w:tab/>
        <w:tab/>
        <w:tab/>
        <w:t xml:space="preserve">systém kanálikov - </w:t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vertAlign w:val="superscript"/>
          <w:rtl w:val="0"/>
        </w:rPr>
        <w:t xml:space="preserve">stočený kanálik 1. rádu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line="276" w:lineRule="auto"/>
        <w:ind w:left="5040" w:hanging="360"/>
        <w:rPr>
          <w:rFonts w:ascii="Times New Roman" w:cs="Times New Roman" w:eastAsia="Times New Roman" w:hAnsi="Times New Roman"/>
          <w:sz w:val="34"/>
          <w:szCs w:val="3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vertAlign w:val="superscript"/>
          <w:rtl w:val="0"/>
        </w:rPr>
        <w:t xml:space="preserve">Henleho kľučka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line="276" w:lineRule="auto"/>
        <w:ind w:left="5040" w:hanging="360"/>
        <w:rPr>
          <w:rFonts w:ascii="Times New Roman" w:cs="Times New Roman" w:eastAsia="Times New Roman" w:hAnsi="Times New Roman"/>
          <w:sz w:val="34"/>
          <w:szCs w:val="3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vertAlign w:val="superscript"/>
          <w:rtl w:val="0"/>
        </w:rPr>
        <w:t xml:space="preserve">stočený kanálik 2. rádu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line="276" w:lineRule="auto"/>
        <w:ind w:left="1417.3228346456694" w:hanging="360"/>
        <w:rPr>
          <w:rFonts w:ascii="Times New Roman" w:cs="Times New Roman" w:eastAsia="Times New Roman" w:hAnsi="Times New Roman"/>
          <w:sz w:val="34"/>
          <w:szCs w:val="34"/>
          <w:u w:val="none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vertAlign w:val="superscript"/>
          <w:rtl w:val="0"/>
        </w:rPr>
        <w:t xml:space="preserve">dreň j</w:t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vertAlign w:val="superscript"/>
          <w:rtl w:val="0"/>
        </w:rPr>
        <w:t xml:space="preserve">e tvorená obličkovými ihlanmi - tie smerujú do obličkových kalichov - v nich sa zbiera definitívny moč, ktorý prechodom cez obličkovú panvičku odteká močovodmi až do močového mechúra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močovody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párový orgán asi 30 cm dlhý, ktorý ústi do močového mechúra. Moč sa v ňom pohybuje peristaltickými pohybmi (1-5/min)</w:t>
      </w:r>
    </w:p>
    <w:p w:rsidR="00000000" w:rsidDel="00000000" w:rsidP="00000000" w:rsidRDefault="00000000" w:rsidRPr="00000000" w14:paraId="0000001D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močový mechúr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je dutý svalový orgán s kapacitou asi 500 ml, ktorý slúži ako zásobáreň definitívneho moču</w:t>
      </w:r>
    </w:p>
    <w:p w:rsidR="00000000" w:rsidDel="00000000" w:rsidP="00000000" w:rsidRDefault="00000000" w:rsidRPr="00000000" w14:paraId="0000001F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močová rúra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slúži na odtekanie moču z močového mechúra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mikciou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čiže vyprázdňovaním, vďaka stúpajúcemu tlaku v mechúre. U žien je výrazne kratšia a končí samostatným otvorom, u mužov je dlhšia a má spoločné vyústenie s pohlavnou sústavou.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16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Proces tvorby moču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widowControl w:val="0"/>
        <w:numPr>
          <w:ilvl w:val="0"/>
          <w:numId w:val="6"/>
        </w:numPr>
        <w:tabs>
          <w:tab w:val="left" w:pos="357"/>
        </w:tabs>
        <w:spacing w:before="0" w:line="240" w:lineRule="auto"/>
        <w:ind w:left="356" w:hanging="24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glomerulárna filtrácia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57"/>
        </w:tabs>
        <w:spacing w:after="0" w:before="41" w:line="276" w:lineRule="auto"/>
        <w:ind w:left="116" w:right="109" w:firstLine="70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ultrafiltrácia krvnej plazmy, výsledkom je vznik primárn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eho moču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150-170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24 hodín). Jeho zloženie je rovnaké, ako zloženie krvnej plazmy, ale je bez bielkovín.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57"/>
        </w:tabs>
        <w:spacing w:after="0" w:before="41" w:line="276" w:lineRule="auto"/>
        <w:ind w:left="116" w:right="10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widowControl w:val="0"/>
        <w:numPr>
          <w:ilvl w:val="0"/>
          <w:numId w:val="6"/>
        </w:numPr>
        <w:tabs>
          <w:tab w:val="left" w:pos="357"/>
        </w:tabs>
        <w:spacing w:before="1" w:line="240" w:lineRule="auto"/>
        <w:ind w:left="356" w:hanging="24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kanáliková exkrécia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4"/>
        </w:tabs>
        <w:spacing w:after="0" w:before="40" w:line="240" w:lineRule="auto"/>
        <w:ind w:left="963" w:right="0" w:hanging="1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vylučovanie telu škodlivých a nepotrebných látok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widowControl w:val="0"/>
        <w:numPr>
          <w:ilvl w:val="0"/>
          <w:numId w:val="6"/>
        </w:numPr>
        <w:tabs>
          <w:tab w:val="left" w:pos="357"/>
        </w:tabs>
        <w:spacing w:before="0" w:line="240" w:lineRule="auto"/>
        <w:ind w:left="356" w:hanging="24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kanáliková resorpcia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4"/>
        </w:tabs>
        <w:spacing w:after="0" w:before="41" w:line="240" w:lineRule="auto"/>
        <w:ind w:left="1083" w:right="0" w:hanging="1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spätná resorpcia vody a niektorých ďalších látok. Výsledkom je vznik definitívneho moču (1,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5-1,7 l/24 hod).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spacing w:line="360" w:lineRule="auto"/>
        <w:ind w:firstLine="116"/>
        <w:rPr/>
      </w:pPr>
      <w:r w:rsidDel="00000000" w:rsidR="00000000" w:rsidRPr="00000000">
        <w:rPr>
          <w:rtl w:val="0"/>
        </w:rPr>
        <w:t xml:space="preserve">Choroby vylučovacej sústavy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360" w:lineRule="auto"/>
        <w:ind w:left="116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Urémia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zastavenie činnosti obličiek a rozvrat vnútorného prostredia.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360" w:lineRule="auto"/>
        <w:ind w:left="116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Dialýza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napojenie na umelú obličku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krv sa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 nej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zbavuje odpadových látok a očistená sa vracia späť do tela.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"Blúdivé obličky"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zmena polohy obličky - upchávanie močových ciest.</w:t>
      </w:r>
      <w:r w:rsidDel="00000000" w:rsidR="00000000" w:rsidRPr="00000000">
        <w:rPr>
          <w:rtl w:val="0"/>
        </w:rPr>
      </w:r>
    </w:p>
    <w:sectPr>
      <w:headerReference r:id="rId8" w:type="default"/>
      <w:pgSz w:h="16840" w:w="11910" w:orient="portrait"/>
      <w:pgMar w:bottom="280" w:top="567" w:left="1300" w:right="116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rPr/>
    </w:pPr>
    <w:r w:rsidDel="00000000" w:rsidR="00000000" w:rsidRPr="00000000">
      <w:rPr/>
      <w:drawing>
        <wp:inline distB="114300" distT="114300" distL="114300" distR="114300">
          <wp:extent cx="981075" cy="781050"/>
          <wp:effectExtent b="0" l="0" r="0" t="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  <w:tab/>
      <w:tab/>
      <w:tab/>
      <w:tab/>
      <w:tab/>
    </w:r>
    <w:r w:rsidDel="00000000" w:rsidR="00000000" w:rsidRPr="00000000">
      <w:rPr/>
      <w:drawing>
        <wp:inline distB="114300" distT="114300" distL="114300" distR="114300">
          <wp:extent cx="2286000" cy="485775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86000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86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93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100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108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836" w:hanging="360.00000000000006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•"/>
      <w:lvlJc w:val="left"/>
      <w:pPr>
        <w:ind w:left="1700" w:hanging="360"/>
      </w:pPr>
      <w:rPr/>
    </w:lvl>
    <w:lvl w:ilvl="2">
      <w:start w:val="1"/>
      <w:numFmt w:val="bullet"/>
      <w:lvlText w:val="•"/>
      <w:lvlJc w:val="left"/>
      <w:pPr>
        <w:ind w:left="2561" w:hanging="360"/>
      </w:pPr>
      <w:rPr/>
    </w:lvl>
    <w:lvl w:ilvl="3">
      <w:start w:val="1"/>
      <w:numFmt w:val="bullet"/>
      <w:lvlText w:val="•"/>
      <w:lvlJc w:val="left"/>
      <w:pPr>
        <w:ind w:left="3421" w:hanging="360"/>
      </w:pPr>
      <w:rPr/>
    </w:lvl>
    <w:lvl w:ilvl="4">
      <w:start w:val="1"/>
      <w:numFmt w:val="bullet"/>
      <w:lvlText w:val="•"/>
      <w:lvlJc w:val="left"/>
      <w:pPr>
        <w:ind w:left="4282" w:hanging="360"/>
      </w:pPr>
      <w:rPr/>
    </w:lvl>
    <w:lvl w:ilvl="5">
      <w:start w:val="1"/>
      <w:numFmt w:val="bullet"/>
      <w:lvlText w:val="•"/>
      <w:lvlJc w:val="left"/>
      <w:pPr>
        <w:ind w:left="5143" w:hanging="360"/>
      </w:pPr>
      <w:rPr/>
    </w:lvl>
    <w:lvl w:ilvl="6">
      <w:start w:val="1"/>
      <w:numFmt w:val="bullet"/>
      <w:lvlText w:val="•"/>
      <w:lvlJc w:val="left"/>
      <w:pPr>
        <w:ind w:left="6003" w:hanging="360"/>
      </w:pPr>
      <w:rPr/>
    </w:lvl>
    <w:lvl w:ilvl="7">
      <w:start w:val="1"/>
      <w:numFmt w:val="bullet"/>
      <w:lvlText w:val="•"/>
      <w:lvlJc w:val="left"/>
      <w:pPr>
        <w:ind w:left="6864" w:hanging="360"/>
      </w:pPr>
      <w:rPr/>
    </w:lvl>
    <w:lvl w:ilvl="8">
      <w:start w:val="1"/>
      <w:numFmt w:val="bullet"/>
      <w:lvlText w:val="•"/>
      <w:lvlJc w:val="left"/>
      <w:pPr>
        <w:ind w:left="7725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56" w:hanging="240"/>
      </w:pPr>
      <w:rPr>
        <w:rFonts w:ascii="Times New Roman" w:cs="Times New Roman" w:eastAsia="Times New Roman" w:hAnsi="Times New Roman"/>
        <w:b w:val="1"/>
        <w:i w:val="1"/>
        <w:sz w:val="24"/>
        <w:szCs w:val="24"/>
      </w:rPr>
    </w:lvl>
    <w:lvl w:ilvl="1">
      <w:start w:val="1"/>
      <w:numFmt w:val="bullet"/>
      <w:lvlText w:val="-"/>
      <w:lvlJc w:val="left"/>
      <w:pPr>
        <w:ind w:left="116" w:hanging="132"/>
      </w:pPr>
      <w:rPr>
        <w:rFonts w:ascii="Times New Roman" w:cs="Times New Roman" w:eastAsia="Times New Roman" w:hAnsi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960" w:hanging="132"/>
      </w:pPr>
      <w:rPr/>
    </w:lvl>
    <w:lvl w:ilvl="3">
      <w:start w:val="1"/>
      <w:numFmt w:val="bullet"/>
      <w:lvlText w:val="•"/>
      <w:lvlJc w:val="left"/>
      <w:pPr>
        <w:ind w:left="1080" w:hanging="132"/>
      </w:pPr>
      <w:rPr/>
    </w:lvl>
    <w:lvl w:ilvl="4">
      <w:start w:val="1"/>
      <w:numFmt w:val="bullet"/>
      <w:lvlText w:val="•"/>
      <w:lvlJc w:val="left"/>
      <w:pPr>
        <w:ind w:left="2275" w:hanging="132"/>
      </w:pPr>
      <w:rPr/>
    </w:lvl>
    <w:lvl w:ilvl="5">
      <w:start w:val="1"/>
      <w:numFmt w:val="bullet"/>
      <w:lvlText w:val="•"/>
      <w:lvlJc w:val="left"/>
      <w:pPr>
        <w:ind w:left="3470" w:hanging="132"/>
      </w:pPr>
      <w:rPr/>
    </w:lvl>
    <w:lvl w:ilvl="6">
      <w:start w:val="1"/>
      <w:numFmt w:val="bullet"/>
      <w:lvlText w:val="•"/>
      <w:lvlJc w:val="left"/>
      <w:pPr>
        <w:ind w:left="4665" w:hanging="132"/>
      </w:pPr>
      <w:rPr/>
    </w:lvl>
    <w:lvl w:ilvl="7">
      <w:start w:val="1"/>
      <w:numFmt w:val="bullet"/>
      <w:lvlText w:val="•"/>
      <w:lvlJc w:val="left"/>
      <w:pPr>
        <w:ind w:left="5860" w:hanging="132"/>
      </w:pPr>
      <w:rPr/>
    </w:lvl>
    <w:lvl w:ilvl="8">
      <w:start w:val="1"/>
      <w:numFmt w:val="bullet"/>
      <w:lvlText w:val="•"/>
      <w:lvlJc w:val="left"/>
      <w:pPr>
        <w:ind w:left="7056" w:hanging="132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k-SK"/>
      </w:rPr>
    </w:rPrDefault>
    <w:pPrDefault>
      <w:pPr>
        <w:spacing w:after="160" w:line="25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116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y" w:default="1">
    <w:name w:val="Normal"/>
    <w:qFormat w:val="1"/>
  </w:style>
  <w:style w:type="paragraph" w:styleId="Nadpis1">
    <w:name w:val="heading 1"/>
    <w:basedOn w:val="Normlny"/>
    <w:link w:val="Nadpis1Char"/>
    <w:uiPriority w:val="1"/>
    <w:qFormat w:val="1"/>
    <w:rsid w:val="00381807"/>
    <w:pPr>
      <w:widowControl w:val="0"/>
      <w:autoSpaceDE w:val="0"/>
      <w:spacing w:after="0" w:line="240" w:lineRule="auto"/>
      <w:ind w:left="116"/>
      <w:outlineLvl w:val="0"/>
    </w:pPr>
    <w:rPr>
      <w:rFonts w:ascii="Times New Roman" w:eastAsia="Times New Roman" w:hAnsi="Times New Roman"/>
      <w:b w:val="1"/>
      <w:bCs w:val="1"/>
      <w:sz w:val="24"/>
      <w:szCs w:val="24"/>
      <w:lang w:val="sk-SK"/>
    </w:rPr>
  </w:style>
  <w:style w:type="paragraph" w:styleId="Nadpis2">
    <w:name w:val="heading 2"/>
    <w:basedOn w:val="Normlny"/>
    <w:next w:val="Normlny"/>
    <w:link w:val="Nadpis2Char"/>
    <w:uiPriority w:val="9"/>
    <w:semiHidden w:val="1"/>
    <w:unhideWhenUsed w:val="1"/>
    <w:qFormat w:val="1"/>
    <w:rsid w:val="00381807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paragraph" w:styleId="Normale" w:customStyle="1">
    <w:name w:val="Normale"/>
    <w:pPr>
      <w:suppressAutoHyphens w:val="1"/>
    </w:pPr>
  </w:style>
  <w:style w:type="character" w:styleId="Carpredefinitoparagrafo" w:customStyle="1">
    <w:name w:val="Car. predefinito paragrafo"/>
  </w:style>
  <w:style w:type="paragraph" w:styleId="Intestazione" w:customStyle="1">
    <w:name w:val="Intestazione"/>
    <w:basedOn w:val="Normale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</w:style>
  <w:style w:type="paragraph" w:styleId="Pidipagina" w:customStyle="1">
    <w:name w:val="Piè di pagina"/>
    <w:basedOn w:val="Normale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</w:style>
  <w:style w:type="paragraph" w:styleId="Hlavika">
    <w:name w:val="header"/>
    <w:basedOn w:val="Normlny"/>
    <w:link w:val="HlavikaChar"/>
    <w:uiPriority w:val="99"/>
    <w:unhideWhenUsed w:val="1"/>
    <w:pPr>
      <w:tabs>
        <w:tab w:val="center" w:pos="4536"/>
        <w:tab w:val="right" w:pos="9072"/>
      </w:tabs>
      <w:spacing w:after="0" w:line="240" w:lineRule="auto"/>
    </w:pPr>
  </w:style>
  <w:style w:type="character" w:styleId="HlavikaChar" w:customStyle="1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 w:val="1"/>
    <w:pPr>
      <w:tabs>
        <w:tab w:val="center" w:pos="4536"/>
        <w:tab w:val="right" w:pos="9072"/>
      </w:tabs>
      <w:spacing w:after="0" w:line="240" w:lineRule="auto"/>
    </w:pPr>
  </w:style>
  <w:style w:type="character" w:styleId="PtaChar" w:customStyle="1">
    <w:name w:val="Päta Char"/>
    <w:basedOn w:val="Predvolenpsmoodseku"/>
    <w:link w:val="Pta"/>
    <w:uiPriority w:val="99"/>
  </w:style>
  <w:style w:type="character" w:styleId="Nadpis1Char" w:customStyle="1">
    <w:name w:val="Nadpis 1 Char"/>
    <w:basedOn w:val="Predvolenpsmoodseku"/>
    <w:link w:val="Nadpis1"/>
    <w:uiPriority w:val="1"/>
    <w:rsid w:val="00381807"/>
    <w:rPr>
      <w:rFonts w:ascii="Times New Roman" w:eastAsia="Times New Roman" w:hAnsi="Times New Roman"/>
      <w:b w:val="1"/>
      <w:bCs w:val="1"/>
      <w:sz w:val="24"/>
      <w:szCs w:val="24"/>
      <w:lang w:val="sk-SK"/>
    </w:rPr>
  </w:style>
  <w:style w:type="paragraph" w:styleId="Zkladntext">
    <w:name w:val="Body Text"/>
    <w:basedOn w:val="Normlny"/>
    <w:link w:val="ZkladntextChar"/>
    <w:uiPriority w:val="1"/>
    <w:qFormat w:val="1"/>
    <w:rsid w:val="0038180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  <w:lang w:val="sk-SK"/>
    </w:rPr>
  </w:style>
  <w:style w:type="character" w:styleId="ZkladntextChar" w:customStyle="1">
    <w:name w:val="Základný text Char"/>
    <w:basedOn w:val="Predvolenpsmoodseku"/>
    <w:link w:val="Zkladntext"/>
    <w:uiPriority w:val="1"/>
    <w:rsid w:val="00381807"/>
    <w:rPr>
      <w:rFonts w:ascii="Times New Roman" w:eastAsia="Times New Roman" w:hAnsi="Times New Roman"/>
      <w:sz w:val="24"/>
      <w:szCs w:val="24"/>
      <w:lang w:val="sk-SK"/>
    </w:rPr>
  </w:style>
  <w:style w:type="paragraph" w:styleId="Odsekzoznamu">
    <w:name w:val="List Paragraph"/>
    <w:basedOn w:val="Normlny"/>
    <w:uiPriority w:val="1"/>
    <w:qFormat w:val="1"/>
    <w:rsid w:val="00381807"/>
    <w:pPr>
      <w:widowControl w:val="0"/>
      <w:autoSpaceDE w:val="0"/>
      <w:spacing w:after="0" w:before="41" w:line="240" w:lineRule="auto"/>
      <w:ind w:left="836" w:hanging="361"/>
    </w:pPr>
    <w:rPr>
      <w:rFonts w:ascii="Times New Roman" w:eastAsia="Times New Roman" w:hAnsi="Times New Roman"/>
      <w:lang w:val="sk-SK"/>
    </w:rPr>
  </w:style>
  <w:style w:type="character" w:styleId="Nadpis2Char" w:customStyle="1">
    <w:name w:val="Nadpis 2 Char"/>
    <w:basedOn w:val="Predvolenpsmoodseku"/>
    <w:link w:val="Nadpis2"/>
    <w:uiPriority w:val="9"/>
    <w:semiHidden w:val="1"/>
    <w:rsid w:val="00381807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2oEdUsKZO/oC0gonW5OP6hU8uQ==">AMUW2mXOoebKqprWVUjtR3H4k6ClXjJW6OvnP202xTQTYAo4CpBGgOkKVjAKyyQYPEcjcYiOHRoN3oIKuUyEBmpYRnof8yhhBgzCHeuNZEoDGyX/Kt9AAQZcfu9PzW3CAbmwTpiHFmJ+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2021-10-01T18:08:00Z</dcterms:created>
  <dc:creator>Communication - Europass</dc:creator>
</cp:coreProperties>
</file>